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黑体" w:cs="方正仿宋_GBK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方正仿宋_GBK"/>
          <w:b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方正仿宋_GBK"/>
          <w:b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val="en-US" w:eastAsia="zh-CN"/>
        </w:rPr>
        <w:t>广东省省级广告产业园区建设和运营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color w:val="auto"/>
          <w:sz w:val="44"/>
          <w:szCs w:val="44"/>
          <w:lang w:val="en-US" w:eastAsia="zh-CN"/>
        </w:rPr>
        <w:t>情况报告制度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color w:val="auto"/>
          <w:sz w:val="32"/>
          <w:szCs w:val="32"/>
          <w:lang w:val="en-US" w:eastAsia="zh-CN"/>
        </w:rPr>
        <w:t>第一条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　为规范我省广告产业园区建设和管理，发挥广告产业园区服务经济发展、推动广告产业高质量发展的积极作用，根据《广东省市场监督管理局省级广告产业园区管理办法》的有关规定，制定本制度。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color w:val="auto"/>
          <w:sz w:val="32"/>
          <w:szCs w:val="32"/>
          <w:lang w:val="en-US" w:eastAsia="zh-CN"/>
        </w:rPr>
        <w:t>第二条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　经省市场监管局认定的省级广告产业园区，应按照规定报告园区建设和运营情况。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color w:val="auto"/>
          <w:sz w:val="32"/>
          <w:szCs w:val="32"/>
          <w:lang w:val="en-US" w:eastAsia="zh-CN"/>
        </w:rPr>
        <w:t>第三条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　报告事项为广告产业园区建设和运营情况，包括以下内容：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（一）基础设施建设情况：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1．建设面积（单位：平方米）：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（1）广告产业园区规划建设总面积；本报告期截止日累计已建成面积、在建面积；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（2）泛广告产业园区：园区覆盖面积。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2．建设公共性、公益性项目（单位：个）：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（1）规划建设项目；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（2）本报告期截止日累计已建成项目；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（3）本报告期截止日累计在建项目。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（二）公共服务平台建设和提供服务情况：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1．市场交易平台；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2．金融服务平台；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3．专业化技术支持平台；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4．专业培训和人才培养平台；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5．市场推广平台；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6．信息交流平台；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7．产权保护平台；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8．综合基础服务平台；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9．其他服务平台。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（三）资金投入使用情况（单位：万元）：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1．基本情况：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（1）计划总投资；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（2）本报告期截止日累计已完成投资；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（3）本报告年度已完成投资。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2．中央财政服务业发展专项资金使用情况：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（1）专项资金使用基本情况（含资金使用台账、支持的具体项目、项目进展和绩效情况等）；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（2）专项资金使用中存在的主要问题及改进措施；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（3）园区有关专项资金使用制度；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（4）地方财政部门有关专项资金使用规定及执行情况；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（5）中央财政服务业发展专项资金年度审计报告或专项审计报告。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3．地方财政和社会投入资金使用情况：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（1）截止报告日地方财政投入资金累计数额；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（2）截止报告日社会投入资金累计数额。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（四）园区经营及入驻园区的企、事业单位情况：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1．园区经营基本情况：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（1）报告期园区广告业务收入及同比情况；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（2）报告期园区广告业务收入占园区总营业收入比例。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2．入驻园区的企、事业单位情况：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（1）截止报告日入驻园区的企、事业单位数量；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（2）截止报告日入驻园区广告产业及直接关联产业的企、事业单位数量。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（五）园区建设运营组织管理情况：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1．报告期内园区运营、管理的主要工作情况；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2．园区管理制度建立情况（非首次报告且无新增制度的，可报告无变化）；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3．报告期内园区参与全国及地方广告相关活动情况；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4．报告期内园区服务全国及地方经济社会活动情况；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5．其它情况。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（六）政策保障情况：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1．领导机制：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（1）当地党委、政府支持指导园区工作情况；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（2）推进园区建设和发展情况。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2．当地政府支持园区建设、促进广告业发展的相关政策措施：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（1）相关政策措施文件的名称及文号；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（2）本报告期内新制定的相关政策措施文件（复印件，盖公章）。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（七）社会效益综合评价分析：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1．园区建设对当地广告业集约化、专业化、国际化发展作用（简述）。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2．园区建设对当地现代服务业和文化产业发展作用（简述）。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color w:val="auto"/>
          <w:sz w:val="32"/>
          <w:szCs w:val="32"/>
          <w:lang w:val="en-US" w:eastAsia="zh-CN"/>
        </w:rPr>
        <w:t>第四条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　报告分为年终报告和专项报告。年终报告信息截止日期为当年度12月30日，于下一年度1月15日前报省市场监管局。重要情况应及时专项报告。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color w:val="auto"/>
          <w:sz w:val="32"/>
          <w:szCs w:val="32"/>
          <w:lang w:val="en-US" w:eastAsia="zh-CN"/>
        </w:rPr>
        <w:t>第五条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　园区运营主体为报告主体，应当在规定的时间内提交报告，并对报告内容的真实性负责。报告加盖运营主体公章，报园区所在地地级以上市市场监管局审核，同时提交报告电子版。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所在地地级以上市市场监管局对报告签署意见并加盖公章，报送省市场监管局。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57912"/>
    <w:rsid w:val="31657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uiPriority w:val="0"/>
    <w:pPr>
      <w:widowControl w:val="0"/>
      <w:jc w:val="center"/>
      <w:outlineLvl w:val="0"/>
    </w:pPr>
    <w:rPr>
      <w:rFonts w:ascii="方正小标宋简体" w:hAnsi="Times New Roman" w:eastAsia="方正小标宋简体" w:cs="Times New Roman"/>
      <w:kern w:val="44"/>
      <w:sz w:val="3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2023-07-13T10:52:00Z</dcterms:created>
  <dc:creator>胡翌婧</dc:creator>
  <cp:lastModifiedBy>胡翌婧</cp:lastModifiedBy>
  <dcterms:modified xsi:type="dcterms:W3CDTF">2023-07-13T10:52:59Z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