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B9B18">
      <w:pPr>
        <w:widowControl/>
        <w:spacing w:after="240"/>
        <w:jc w:val="center"/>
        <w:rPr>
          <w:rFonts w:hint="eastAsia" w:ascii="方正小标宋简体" w:hAnsi="方正小标宋简体" w:eastAsia="方正小标宋简体" w:cs="方正小标宋简体"/>
          <w:kern w:val="0"/>
          <w:sz w:val="44"/>
          <w:szCs w:val="44"/>
          <w:lang w:val="en-GB" w:bidi="ar"/>
        </w:rPr>
      </w:pPr>
      <w:r>
        <w:rPr>
          <w:rFonts w:hint="eastAsia" w:ascii="方正小标宋简体" w:hAnsi="方正小标宋简体" w:eastAsia="方正小标宋简体" w:cs="方正小标宋简体"/>
          <w:kern w:val="0"/>
          <w:sz w:val="44"/>
          <w:szCs w:val="44"/>
          <w:lang w:val="en-GB" w:bidi="ar"/>
        </w:rPr>
        <w:t>经营者集中简易案件公示表</w:t>
      </w:r>
    </w:p>
    <w:tbl>
      <w:tblPr>
        <w:tblStyle w:val="3"/>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476"/>
        <w:gridCol w:w="6224"/>
      </w:tblGrid>
      <w:tr w14:paraId="6064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14:paraId="2CE7D055">
            <w:pPr>
              <w:pStyle w:val="2"/>
              <w:widowControl/>
              <w:adjustRightInd w:val="0"/>
              <w:snapToGrid w:val="0"/>
              <w:spacing w:after="0"/>
              <w:jc w:val="center"/>
              <w:rPr>
                <w:bCs/>
                <w:color w:val="000000"/>
                <w:sz w:val="24"/>
              </w:rPr>
            </w:pPr>
            <w:r>
              <w:rPr>
                <w:bCs/>
                <w:color w:val="000000"/>
                <w:sz w:val="24"/>
              </w:rPr>
              <w:t>案件名称</w:t>
            </w:r>
          </w:p>
        </w:tc>
        <w:tc>
          <w:tcPr>
            <w:tcW w:w="7700" w:type="dxa"/>
            <w:gridSpan w:val="2"/>
            <w:vAlign w:val="center"/>
          </w:tcPr>
          <w:p w14:paraId="7C88BDD6">
            <w:pPr>
              <w:widowControl/>
              <w:adjustRightInd w:val="0"/>
              <w:snapToGrid w:val="0"/>
              <w:rPr>
                <w:bCs/>
                <w:color w:val="000000"/>
                <w:sz w:val="24"/>
              </w:rPr>
            </w:pPr>
            <w:r>
              <w:rPr>
                <w:rFonts w:hint="eastAsia"/>
                <w:sz w:val="24"/>
              </w:rPr>
              <w:t>中远海运特种运输股份有限公司与北汽福田汽车股份有限公司新设合营企业案</w:t>
            </w:r>
          </w:p>
        </w:tc>
      </w:tr>
      <w:tr w14:paraId="1E8C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14:paraId="56E5D489">
            <w:pPr>
              <w:pStyle w:val="2"/>
              <w:widowControl/>
              <w:adjustRightInd w:val="0"/>
              <w:snapToGrid w:val="0"/>
              <w:spacing w:after="0"/>
              <w:jc w:val="center"/>
              <w:rPr>
                <w:bCs/>
                <w:color w:val="000000"/>
                <w:sz w:val="24"/>
              </w:rPr>
            </w:pPr>
            <w:r>
              <w:rPr>
                <w:bCs/>
                <w:color w:val="000000"/>
                <w:sz w:val="24"/>
              </w:rPr>
              <w:t>交易概况（限200字内）</w:t>
            </w:r>
          </w:p>
        </w:tc>
        <w:tc>
          <w:tcPr>
            <w:tcW w:w="7700" w:type="dxa"/>
            <w:gridSpan w:val="2"/>
            <w:vAlign w:val="center"/>
          </w:tcPr>
          <w:p w14:paraId="7BF8CAEC">
            <w:pPr>
              <w:widowControl/>
              <w:adjustRightInd w:val="0"/>
              <w:snapToGrid w:val="0"/>
              <w:rPr>
                <w:sz w:val="24"/>
              </w:rPr>
            </w:pPr>
            <w:r>
              <w:rPr>
                <w:rFonts w:hint="eastAsia"/>
                <w:sz w:val="24"/>
              </w:rPr>
              <w:t>中远海运特种运输股份有限公司（“中远海特”）与北汽福田汽车股份有限公司（“北汽福田”）签署协议，约定共同新设一家合营企业。合营企业主要为北汽福田提供汽车整车的海运服务。交易后，中远海特和北汽福田将分别持有合营企业65%和35%的股权，中远海特和北汽福田共同控制合营企业。</w:t>
            </w:r>
          </w:p>
        </w:tc>
      </w:tr>
      <w:tr w14:paraId="75A5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restart"/>
            <w:shd w:val="clear" w:color="auto" w:fill="D9D9D9"/>
            <w:vAlign w:val="center"/>
          </w:tcPr>
          <w:p w14:paraId="3B81F6AA">
            <w:pPr>
              <w:pStyle w:val="2"/>
              <w:widowControl/>
              <w:adjustRightInd w:val="0"/>
              <w:snapToGrid w:val="0"/>
              <w:spacing w:after="0"/>
              <w:jc w:val="center"/>
              <w:rPr>
                <w:bCs/>
                <w:color w:val="000000"/>
                <w:sz w:val="24"/>
              </w:rPr>
            </w:pPr>
            <w:r>
              <w:rPr>
                <w:bCs/>
                <w:color w:val="000000"/>
                <w:sz w:val="24"/>
              </w:rPr>
              <w:t>参与集中的经营者简介（每个限100字内）</w:t>
            </w:r>
          </w:p>
        </w:tc>
        <w:tc>
          <w:tcPr>
            <w:tcW w:w="1476" w:type="dxa"/>
            <w:vAlign w:val="center"/>
          </w:tcPr>
          <w:p w14:paraId="7F74F4F0">
            <w:pPr>
              <w:pStyle w:val="2"/>
              <w:widowControl/>
              <w:adjustRightInd w:val="0"/>
              <w:snapToGrid w:val="0"/>
              <w:spacing w:after="0"/>
              <w:rPr>
                <w:rFonts w:hint="eastAsia" w:eastAsia="宋体"/>
                <w:bCs/>
                <w:color w:val="000000"/>
                <w:sz w:val="24"/>
                <w:lang w:eastAsia="zh-CN"/>
              </w:rPr>
            </w:pPr>
            <w:r>
              <w:rPr>
                <w:bCs/>
                <w:color w:val="000000"/>
                <w:sz w:val="24"/>
              </w:rPr>
              <w:t>1.</w:t>
            </w:r>
            <w:r>
              <w:rPr>
                <w:rFonts w:hint="eastAsia"/>
                <w:bCs/>
                <w:color w:val="000000"/>
                <w:sz w:val="24"/>
                <w:lang w:eastAsia="zh-CN"/>
              </w:rPr>
              <w:t>中远海特</w:t>
            </w:r>
          </w:p>
        </w:tc>
        <w:tc>
          <w:tcPr>
            <w:tcW w:w="6224" w:type="dxa"/>
            <w:vAlign w:val="center"/>
          </w:tcPr>
          <w:p w14:paraId="0205A281">
            <w:pPr>
              <w:pStyle w:val="2"/>
              <w:widowControl/>
              <w:adjustRightInd w:val="0"/>
              <w:snapToGrid w:val="0"/>
              <w:spacing w:after="0"/>
              <w:rPr>
                <w:rFonts w:hint="eastAsia"/>
                <w:sz w:val="24"/>
              </w:rPr>
            </w:pPr>
            <w:r>
              <w:rPr>
                <w:rFonts w:hint="eastAsia"/>
                <w:sz w:val="24"/>
              </w:rPr>
              <w:t>中远海特于1999年12月8日成立于广东省广州市，为上海证券交易所上市公司，主要从事特种船海上运输业务。</w:t>
            </w:r>
          </w:p>
          <w:p w14:paraId="5829E825">
            <w:pPr>
              <w:pStyle w:val="2"/>
              <w:widowControl/>
              <w:adjustRightInd w:val="0"/>
              <w:snapToGrid w:val="0"/>
              <w:spacing w:after="0"/>
              <w:rPr>
                <w:bCs/>
                <w:color w:val="000000"/>
                <w:sz w:val="24"/>
              </w:rPr>
            </w:pPr>
            <w:r>
              <w:rPr>
                <w:rFonts w:hint="eastAsia"/>
                <w:sz w:val="24"/>
              </w:rPr>
              <w:t>中远海特的最终控制人为中国远洋海运集团有限公司，主要从事航运、物流等业务。</w:t>
            </w:r>
          </w:p>
        </w:tc>
      </w:tr>
      <w:tr w14:paraId="743D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14:paraId="3E3398DD">
            <w:pPr>
              <w:pStyle w:val="2"/>
              <w:widowControl/>
              <w:adjustRightInd w:val="0"/>
              <w:snapToGrid w:val="0"/>
              <w:spacing w:after="0"/>
              <w:jc w:val="center"/>
              <w:rPr>
                <w:bCs/>
                <w:color w:val="000000"/>
                <w:sz w:val="24"/>
              </w:rPr>
            </w:pPr>
          </w:p>
        </w:tc>
        <w:tc>
          <w:tcPr>
            <w:tcW w:w="1476" w:type="dxa"/>
            <w:vAlign w:val="center"/>
          </w:tcPr>
          <w:p w14:paraId="338F563B">
            <w:pPr>
              <w:pStyle w:val="2"/>
              <w:widowControl/>
              <w:adjustRightInd w:val="0"/>
              <w:snapToGrid w:val="0"/>
              <w:spacing w:after="0"/>
              <w:rPr>
                <w:rFonts w:hint="default" w:eastAsia="宋体"/>
                <w:bCs/>
                <w:color w:val="000000"/>
                <w:sz w:val="24"/>
                <w:lang w:val="en-US" w:eastAsia="zh-CN"/>
              </w:rPr>
            </w:pPr>
            <w:r>
              <w:rPr>
                <w:bCs/>
                <w:color w:val="000000"/>
                <w:sz w:val="24"/>
              </w:rPr>
              <w:t>2.</w:t>
            </w:r>
            <w:r>
              <w:rPr>
                <w:rFonts w:hint="eastAsia"/>
                <w:sz w:val="24"/>
              </w:rPr>
              <w:t>北汽福田</w:t>
            </w:r>
          </w:p>
        </w:tc>
        <w:tc>
          <w:tcPr>
            <w:tcW w:w="6224" w:type="dxa"/>
            <w:vAlign w:val="center"/>
          </w:tcPr>
          <w:p w14:paraId="1742BC2D">
            <w:pPr>
              <w:pStyle w:val="2"/>
              <w:widowControl/>
              <w:adjustRightInd w:val="0"/>
              <w:snapToGrid w:val="0"/>
              <w:spacing w:after="0"/>
              <w:rPr>
                <w:rFonts w:hint="eastAsia"/>
                <w:sz w:val="24"/>
              </w:rPr>
            </w:pPr>
            <w:r>
              <w:rPr>
                <w:rFonts w:hint="eastAsia"/>
                <w:sz w:val="24"/>
              </w:rPr>
              <w:t>北汽福田于1996年8月28日成立于北京市，为上海证券交易所上市公司，业务主要涵盖车辆与移动装备、零部件、数字科技和商业生态四大板块，产品涵盖轻型卡车、中型卡车、重型卡车、轻型客车、大中型客车以及核心零部件发动机、变速箱等。</w:t>
            </w:r>
          </w:p>
          <w:p w14:paraId="15E3A9D3">
            <w:pPr>
              <w:pStyle w:val="2"/>
              <w:widowControl/>
              <w:adjustRightInd w:val="0"/>
              <w:snapToGrid w:val="0"/>
              <w:spacing w:after="0"/>
              <w:rPr>
                <w:sz w:val="24"/>
              </w:rPr>
            </w:pPr>
            <w:r>
              <w:rPr>
                <w:rFonts w:hint="eastAsia"/>
                <w:sz w:val="24"/>
              </w:rPr>
              <w:t>北汽福田的最终控制人是北京国有资本运营管理有限公司，其主要业务为资本运营、投资管理、基金管理等，其管理的股权投资项目涉及电子、汽车、航空发动机、环保、农业等多个领域。</w:t>
            </w:r>
          </w:p>
        </w:tc>
      </w:tr>
      <w:tr w14:paraId="398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14:paraId="0D3C856F">
            <w:pPr>
              <w:pStyle w:val="2"/>
              <w:widowControl/>
              <w:adjustRightInd w:val="0"/>
              <w:snapToGrid w:val="0"/>
              <w:spacing w:after="0"/>
              <w:jc w:val="center"/>
              <w:rPr>
                <w:bCs/>
                <w:color w:val="000000"/>
                <w:sz w:val="24"/>
              </w:rPr>
            </w:pPr>
            <w:r>
              <w:rPr>
                <w:bCs/>
                <w:color w:val="000000"/>
                <w:sz w:val="24"/>
              </w:rPr>
              <w:t>简易案件理由（可以单选，也可以多选）</w:t>
            </w:r>
          </w:p>
        </w:tc>
        <w:tc>
          <w:tcPr>
            <w:tcW w:w="7700" w:type="dxa"/>
            <w:gridSpan w:val="2"/>
            <w:vAlign w:val="center"/>
          </w:tcPr>
          <w:p w14:paraId="116F2BD6">
            <w:pPr>
              <w:pStyle w:val="2"/>
              <w:widowControl/>
              <w:adjustRightInd w:val="0"/>
              <w:snapToGrid w:val="0"/>
              <w:spacing w:after="0"/>
              <w:rPr>
                <w:bCs/>
                <w:color w:val="000000"/>
                <w:sz w:val="24"/>
              </w:rPr>
            </w:pPr>
            <w:r>
              <w:rPr>
                <w:bCs/>
                <w:color w:val="000000"/>
                <w:sz w:val="24"/>
              </w:rPr>
              <w:sym w:font="Wingdings" w:char="00A8"/>
            </w:r>
            <w:r>
              <w:rPr>
                <w:bCs/>
                <w:color w:val="000000"/>
                <w:sz w:val="24"/>
              </w:rPr>
              <w:t xml:space="preserve"> 1、在同一相关市场，所有参与集中的经营者所占市场份额之和小于15%。</w:t>
            </w:r>
          </w:p>
        </w:tc>
      </w:tr>
      <w:tr w14:paraId="2ECF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14:paraId="1F3A561A">
            <w:pPr>
              <w:pStyle w:val="2"/>
              <w:widowControl/>
              <w:adjustRightInd w:val="0"/>
              <w:snapToGrid w:val="0"/>
              <w:spacing w:after="0"/>
              <w:jc w:val="center"/>
              <w:rPr>
                <w:bCs/>
                <w:color w:val="000000"/>
                <w:sz w:val="24"/>
              </w:rPr>
            </w:pPr>
          </w:p>
        </w:tc>
        <w:tc>
          <w:tcPr>
            <w:tcW w:w="7700" w:type="dxa"/>
            <w:gridSpan w:val="2"/>
            <w:vAlign w:val="center"/>
          </w:tcPr>
          <w:p w14:paraId="1705D12D">
            <w:pPr>
              <w:pStyle w:val="2"/>
              <w:widowControl/>
              <w:adjustRightInd w:val="0"/>
              <w:snapToGrid w:val="0"/>
              <w:spacing w:after="0"/>
              <w:rPr>
                <w:bCs/>
                <w:color w:val="000000"/>
                <w:sz w:val="24"/>
              </w:rPr>
            </w:pPr>
            <w:r>
              <w:rPr>
                <w:bCs/>
                <w:color w:val="000000"/>
                <w:sz w:val="24"/>
              </w:rPr>
              <w:sym w:font="Wingdings" w:char="00FE"/>
            </w:r>
            <w:r>
              <w:rPr>
                <w:bCs/>
                <w:color w:val="000000"/>
                <w:sz w:val="24"/>
              </w:rPr>
              <w:t xml:space="preserve"> 2、存在上下游关系的参与集中的经营者，在上下游市场所占的市场份额均小于25%。</w:t>
            </w:r>
          </w:p>
        </w:tc>
      </w:tr>
      <w:tr w14:paraId="197F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14:paraId="0A4965F1">
            <w:pPr>
              <w:pStyle w:val="2"/>
              <w:widowControl/>
              <w:adjustRightInd w:val="0"/>
              <w:snapToGrid w:val="0"/>
              <w:spacing w:after="0"/>
              <w:jc w:val="center"/>
              <w:rPr>
                <w:bCs/>
                <w:color w:val="000000"/>
                <w:sz w:val="24"/>
              </w:rPr>
            </w:pPr>
          </w:p>
        </w:tc>
        <w:tc>
          <w:tcPr>
            <w:tcW w:w="7700" w:type="dxa"/>
            <w:gridSpan w:val="2"/>
            <w:vAlign w:val="center"/>
          </w:tcPr>
          <w:p w14:paraId="37F5C3DB">
            <w:pPr>
              <w:pStyle w:val="2"/>
              <w:widowControl/>
              <w:adjustRightInd w:val="0"/>
              <w:snapToGrid w:val="0"/>
              <w:spacing w:after="0"/>
              <w:rPr>
                <w:bCs/>
                <w:color w:val="000000"/>
                <w:sz w:val="24"/>
              </w:rPr>
            </w:pPr>
            <w:r>
              <w:rPr>
                <w:bCs/>
                <w:color w:val="000000"/>
                <w:sz w:val="24"/>
              </w:rPr>
              <w:sym w:font="Wingdings" w:char="00A8"/>
            </w:r>
            <w:r>
              <w:rPr>
                <w:bCs/>
                <w:color w:val="000000"/>
                <w:sz w:val="24"/>
              </w:rPr>
              <w:t xml:space="preserve"> 3、不在同一相关市场、也不存在上下游关系的参与集中的经营者，在与交易有关的每个市场所占的份额均小于25%。</w:t>
            </w:r>
          </w:p>
        </w:tc>
      </w:tr>
      <w:tr w14:paraId="16C0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40" w:type="dxa"/>
            <w:vMerge w:val="continue"/>
            <w:shd w:val="clear" w:color="auto" w:fill="D9D9D9"/>
            <w:vAlign w:val="center"/>
          </w:tcPr>
          <w:p w14:paraId="312F33B8">
            <w:pPr>
              <w:pStyle w:val="2"/>
              <w:widowControl/>
              <w:adjustRightInd w:val="0"/>
              <w:snapToGrid w:val="0"/>
              <w:spacing w:after="0"/>
              <w:jc w:val="center"/>
              <w:rPr>
                <w:bCs/>
                <w:color w:val="000000"/>
                <w:sz w:val="24"/>
              </w:rPr>
            </w:pPr>
          </w:p>
        </w:tc>
        <w:tc>
          <w:tcPr>
            <w:tcW w:w="7700" w:type="dxa"/>
            <w:gridSpan w:val="2"/>
            <w:vAlign w:val="center"/>
          </w:tcPr>
          <w:p w14:paraId="0DB0E266">
            <w:pPr>
              <w:pStyle w:val="2"/>
              <w:widowControl/>
              <w:adjustRightInd w:val="0"/>
              <w:snapToGrid w:val="0"/>
              <w:spacing w:after="0"/>
              <w:rPr>
                <w:bCs/>
                <w:color w:val="000000"/>
                <w:sz w:val="24"/>
              </w:rPr>
            </w:pPr>
            <w:r>
              <w:rPr>
                <w:bCs/>
                <w:color w:val="000000"/>
                <w:sz w:val="24"/>
              </w:rPr>
              <w:sym w:font="Wingdings" w:char="00A8"/>
            </w:r>
            <w:r>
              <w:rPr>
                <w:bCs/>
                <w:color w:val="000000"/>
                <w:sz w:val="24"/>
              </w:rPr>
              <w:t xml:space="preserve"> 4、参与集中的经营者在中国境外设立合营企业，合营企业不在中国境内从事经济活动。</w:t>
            </w:r>
          </w:p>
        </w:tc>
      </w:tr>
      <w:tr w14:paraId="0F82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14:paraId="11278651">
            <w:pPr>
              <w:pStyle w:val="2"/>
              <w:widowControl/>
              <w:adjustRightInd w:val="0"/>
              <w:snapToGrid w:val="0"/>
              <w:spacing w:after="0"/>
              <w:jc w:val="center"/>
              <w:rPr>
                <w:bCs/>
                <w:color w:val="000000"/>
                <w:sz w:val="24"/>
              </w:rPr>
            </w:pPr>
          </w:p>
        </w:tc>
        <w:tc>
          <w:tcPr>
            <w:tcW w:w="7700" w:type="dxa"/>
            <w:gridSpan w:val="2"/>
            <w:vAlign w:val="center"/>
          </w:tcPr>
          <w:p w14:paraId="6C69E8ED">
            <w:pPr>
              <w:pStyle w:val="2"/>
              <w:widowControl/>
              <w:adjustRightInd w:val="0"/>
              <w:snapToGrid w:val="0"/>
              <w:spacing w:after="0"/>
              <w:rPr>
                <w:bCs/>
                <w:color w:val="000000"/>
                <w:sz w:val="24"/>
              </w:rPr>
            </w:pPr>
            <w:r>
              <w:rPr>
                <w:bCs/>
                <w:color w:val="000000"/>
                <w:sz w:val="24"/>
              </w:rPr>
              <w:sym w:font="Wingdings" w:char="00A8"/>
            </w:r>
            <w:r>
              <w:rPr>
                <w:bCs/>
                <w:color w:val="000000"/>
                <w:sz w:val="24"/>
              </w:rPr>
              <w:t xml:space="preserve"> 5、参与集中的经营者收购境外企业股权或资产的，该境外企业不在中国境内从事经济活动。</w:t>
            </w:r>
          </w:p>
        </w:tc>
      </w:tr>
      <w:tr w14:paraId="5BB7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14:paraId="24897792">
            <w:pPr>
              <w:pStyle w:val="2"/>
              <w:widowControl/>
              <w:adjustRightInd w:val="0"/>
              <w:snapToGrid w:val="0"/>
              <w:spacing w:after="0"/>
              <w:jc w:val="center"/>
              <w:rPr>
                <w:bCs/>
                <w:color w:val="000000"/>
                <w:sz w:val="24"/>
              </w:rPr>
            </w:pPr>
          </w:p>
        </w:tc>
        <w:tc>
          <w:tcPr>
            <w:tcW w:w="7700" w:type="dxa"/>
            <w:gridSpan w:val="2"/>
            <w:vAlign w:val="center"/>
          </w:tcPr>
          <w:p w14:paraId="43EE438C">
            <w:pPr>
              <w:pStyle w:val="2"/>
              <w:widowControl/>
              <w:adjustRightInd w:val="0"/>
              <w:snapToGrid w:val="0"/>
              <w:spacing w:after="0"/>
              <w:rPr>
                <w:bCs/>
                <w:color w:val="000000"/>
                <w:sz w:val="24"/>
              </w:rPr>
            </w:pPr>
            <w:r>
              <w:rPr>
                <w:bCs/>
                <w:color w:val="000000"/>
                <w:sz w:val="24"/>
              </w:rPr>
              <w:sym w:font="Wingdings" w:char="00A8"/>
            </w:r>
            <w:r>
              <w:rPr>
                <w:bCs/>
                <w:color w:val="000000"/>
                <w:sz w:val="24"/>
              </w:rPr>
              <w:t xml:space="preserve"> 6、由两个以上的经营者共同控制的合营企业，通过集中被其中一个或一个以上经营者控制。</w:t>
            </w:r>
          </w:p>
        </w:tc>
      </w:tr>
      <w:tr w14:paraId="4C35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40" w:type="dxa"/>
            <w:shd w:val="clear" w:color="auto" w:fill="D9D9D9"/>
            <w:vAlign w:val="center"/>
          </w:tcPr>
          <w:p w14:paraId="2D853C0B">
            <w:pPr>
              <w:pStyle w:val="2"/>
              <w:widowControl/>
              <w:adjustRightInd w:val="0"/>
              <w:snapToGrid w:val="0"/>
              <w:spacing w:after="0"/>
              <w:jc w:val="center"/>
              <w:rPr>
                <w:bCs/>
                <w:color w:val="000000"/>
                <w:sz w:val="24"/>
              </w:rPr>
            </w:pPr>
            <w:r>
              <w:rPr>
                <w:bCs/>
                <w:color w:val="000000"/>
                <w:sz w:val="24"/>
              </w:rPr>
              <w:t>备注</w:t>
            </w:r>
          </w:p>
        </w:tc>
        <w:tc>
          <w:tcPr>
            <w:tcW w:w="7700" w:type="dxa"/>
            <w:gridSpan w:val="2"/>
            <w:vAlign w:val="center"/>
          </w:tcPr>
          <w:p w14:paraId="6787CC41">
            <w:pPr>
              <w:pStyle w:val="2"/>
              <w:widowControl/>
              <w:adjustRightInd w:val="0"/>
              <w:snapToGrid w:val="0"/>
              <w:spacing w:after="0"/>
              <w:rPr>
                <w:rFonts w:hint="eastAsia"/>
                <w:b/>
                <w:color w:val="000000"/>
                <w:kern w:val="0"/>
                <w:sz w:val="24"/>
                <w:lang w:val="en-GB"/>
              </w:rPr>
            </w:pPr>
            <w:r>
              <w:rPr>
                <w:rFonts w:hint="eastAsia"/>
                <w:b/>
                <w:color w:val="000000"/>
                <w:kern w:val="0"/>
                <w:sz w:val="24"/>
                <w:lang w:val="en-GB" w:eastAsia="zh-CN"/>
              </w:rPr>
              <w:t>纵向关联</w:t>
            </w:r>
            <w:r>
              <w:rPr>
                <w:rFonts w:hint="eastAsia"/>
                <w:b/>
                <w:color w:val="000000"/>
                <w:kern w:val="0"/>
                <w:sz w:val="24"/>
                <w:lang w:val="en-GB"/>
              </w:rPr>
              <w:t>：</w:t>
            </w:r>
          </w:p>
          <w:tbl>
            <w:tblPr>
              <w:tblStyle w:val="3"/>
              <w:tblW w:w="7450" w:type="dxa"/>
              <w:tblInd w:w="0" w:type="dxa"/>
              <w:tblLayout w:type="fixed"/>
              <w:tblCellMar>
                <w:top w:w="0" w:type="dxa"/>
                <w:left w:w="10" w:type="dxa"/>
                <w:bottom w:w="0" w:type="dxa"/>
                <w:right w:w="10" w:type="dxa"/>
              </w:tblCellMar>
            </w:tblPr>
            <w:tblGrid>
              <w:gridCol w:w="2271"/>
              <w:gridCol w:w="1893"/>
              <w:gridCol w:w="3286"/>
            </w:tblGrid>
            <w:tr w14:paraId="58DB9F95">
              <w:trPr>
                <w:trHeight w:val="313" w:hRule="atLeast"/>
              </w:trPr>
              <w:tc>
                <w:tcPr>
                  <w:tcW w:w="2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0A6150">
                  <w:pPr>
                    <w:pStyle w:val="2"/>
                    <w:adjustRightInd w:val="0"/>
                    <w:snapToGrid w:val="0"/>
                    <w:spacing w:after="0"/>
                    <w:jc w:val="center"/>
                    <w:rPr>
                      <w:b/>
                      <w:bCs/>
                      <w:sz w:val="24"/>
                      <w:lang w:bidi="ar"/>
                    </w:rPr>
                  </w:pPr>
                  <w:r>
                    <w:rPr>
                      <w:b/>
                      <w:bCs/>
                      <w:sz w:val="24"/>
                      <w:lang w:bidi="ar"/>
                    </w:rPr>
                    <w:t>相关商品市场</w:t>
                  </w:r>
                </w:p>
              </w:tc>
              <w:tc>
                <w:tcPr>
                  <w:tcW w:w="1893" w:type="dxa"/>
                  <w:tcBorders>
                    <w:top w:val="single" w:color="000000" w:sz="4" w:space="0"/>
                    <w:left w:val="single" w:color="auto" w:sz="4" w:space="0"/>
                    <w:bottom w:val="single" w:color="auto" w:sz="4" w:space="0"/>
                    <w:right w:val="single" w:color="000000" w:sz="4" w:space="0"/>
                  </w:tcBorders>
                  <w:tcMar>
                    <w:top w:w="0" w:type="dxa"/>
                    <w:left w:w="108" w:type="dxa"/>
                    <w:bottom w:w="0" w:type="dxa"/>
                    <w:right w:w="108" w:type="dxa"/>
                  </w:tcMar>
                </w:tcPr>
                <w:p w14:paraId="67DF4D1B">
                  <w:pPr>
                    <w:pStyle w:val="2"/>
                    <w:adjustRightInd w:val="0"/>
                    <w:snapToGrid w:val="0"/>
                    <w:spacing w:after="0"/>
                    <w:jc w:val="center"/>
                    <w:rPr>
                      <w:b/>
                      <w:bCs/>
                      <w:sz w:val="24"/>
                      <w:lang w:bidi="ar"/>
                    </w:rPr>
                  </w:pPr>
                  <w:r>
                    <w:rPr>
                      <w:b/>
                      <w:bCs/>
                      <w:sz w:val="24"/>
                      <w:lang w:bidi="ar"/>
                    </w:rPr>
                    <w:t>相关地域市场</w:t>
                  </w:r>
                </w:p>
              </w:tc>
              <w:tc>
                <w:tcPr>
                  <w:tcW w:w="328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tcPr>
                <w:p w14:paraId="6134B5D0">
                  <w:pPr>
                    <w:pStyle w:val="2"/>
                    <w:adjustRightInd w:val="0"/>
                    <w:snapToGrid w:val="0"/>
                    <w:spacing w:after="0"/>
                    <w:jc w:val="center"/>
                    <w:rPr>
                      <w:b/>
                      <w:bCs/>
                      <w:sz w:val="24"/>
                      <w:lang w:bidi="ar"/>
                    </w:rPr>
                  </w:pPr>
                  <w:r>
                    <w:rPr>
                      <w:b/>
                      <w:bCs/>
                      <w:sz w:val="24"/>
                      <w:lang w:bidi="ar"/>
                    </w:rPr>
                    <w:t>202</w:t>
                  </w:r>
                  <w:r>
                    <w:rPr>
                      <w:rFonts w:hint="eastAsia"/>
                      <w:b/>
                      <w:bCs/>
                      <w:sz w:val="24"/>
                      <w:lang w:val="en-US" w:eastAsia="zh-CN" w:bidi="ar"/>
                    </w:rPr>
                    <w:t>5</w:t>
                  </w:r>
                  <w:r>
                    <w:rPr>
                      <w:b/>
                      <w:bCs/>
                      <w:sz w:val="24"/>
                      <w:lang w:bidi="ar"/>
                    </w:rPr>
                    <w:t>年市场份额</w:t>
                  </w:r>
                </w:p>
              </w:tc>
            </w:tr>
            <w:tr w14:paraId="6D205105">
              <w:tblPrEx>
                <w:tblCellMar>
                  <w:top w:w="0" w:type="dxa"/>
                  <w:left w:w="10" w:type="dxa"/>
                  <w:bottom w:w="0" w:type="dxa"/>
                  <w:right w:w="10" w:type="dxa"/>
                </w:tblCellMar>
              </w:tblPrEx>
              <w:tc>
                <w:tcPr>
                  <w:tcW w:w="2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4A020">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上游：滚装船舶货物运输服务市场</w:t>
                  </w:r>
                </w:p>
                <w:p w14:paraId="0C69B6E7">
                  <w:pPr>
                    <w:pStyle w:val="2"/>
                    <w:adjustRightInd w:val="0"/>
                    <w:snapToGrid w:val="0"/>
                    <w:spacing w:after="0"/>
                    <w:rPr>
                      <w:rFonts w:hint="eastAsia" w:ascii="宋体" w:hAnsi="宋体" w:eastAsia="宋体" w:cs="宋体"/>
                      <w:bCs/>
                      <w:color w:val="000000"/>
                      <w:kern w:val="2"/>
                      <w:sz w:val="24"/>
                      <w:szCs w:val="24"/>
                      <w:lang w:val="en-GB" w:eastAsia="zh-CN" w:bidi="ar-SA"/>
                    </w:rPr>
                  </w:pPr>
                  <w:r>
                    <w:rPr>
                      <w:rFonts w:hint="eastAsia" w:ascii="宋体" w:hAnsi="宋体" w:cs="宋体"/>
                      <w:bCs/>
                      <w:color w:val="000000"/>
                      <w:sz w:val="24"/>
                    </w:rPr>
                    <w:t>下游：汽车整车市场</w:t>
                  </w:r>
                </w:p>
              </w:tc>
              <w:tc>
                <w:tcPr>
                  <w:tcW w:w="1893"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58E1274C">
                  <w:pPr>
                    <w:pStyle w:val="2"/>
                    <w:adjustRightInd w:val="0"/>
                    <w:snapToGrid w:val="0"/>
                    <w:spacing w:after="0"/>
                    <w:jc w:val="left"/>
                    <w:rPr>
                      <w:rFonts w:hint="eastAsia" w:ascii="宋体" w:hAnsi="宋体" w:cs="宋体"/>
                      <w:bCs/>
                      <w:color w:val="000000"/>
                      <w:sz w:val="24"/>
                    </w:rPr>
                  </w:pPr>
                  <w:r>
                    <w:rPr>
                      <w:rFonts w:hint="eastAsia" w:ascii="宋体" w:hAnsi="宋体" w:cs="宋体"/>
                      <w:bCs/>
                      <w:color w:val="000000"/>
                      <w:sz w:val="24"/>
                    </w:rPr>
                    <w:t>上游：中国-中东航线</w:t>
                  </w:r>
                </w:p>
                <w:p w14:paraId="7034D531">
                  <w:pPr>
                    <w:pStyle w:val="2"/>
                    <w:adjustRightInd w:val="0"/>
                    <w:snapToGrid w:val="0"/>
                    <w:spacing w:after="0"/>
                    <w:jc w:val="left"/>
                    <w:rPr>
                      <w:rFonts w:hint="eastAsia" w:ascii="宋体" w:hAnsi="宋体" w:eastAsia="宋体" w:cs="宋体"/>
                      <w:bCs/>
                      <w:color w:val="000000"/>
                      <w:kern w:val="2"/>
                      <w:sz w:val="24"/>
                      <w:szCs w:val="24"/>
                      <w:lang w:val="en-GB" w:eastAsia="zh-CN" w:bidi="ar-SA"/>
                    </w:rPr>
                  </w:pPr>
                  <w:r>
                    <w:rPr>
                      <w:rFonts w:hint="eastAsia" w:ascii="宋体" w:hAnsi="宋体" w:cs="宋体"/>
                      <w:bCs/>
                      <w:color w:val="000000"/>
                      <w:sz w:val="24"/>
                    </w:rPr>
                    <w:t>下游：中国境内</w:t>
                  </w:r>
                </w:p>
              </w:tc>
              <w:tc>
                <w:tcPr>
                  <w:tcW w:w="328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top"/>
                </w:tcPr>
                <w:p w14:paraId="15674395">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上游：中国-中东航线滚装船舶货物运输服务市场</w:t>
                  </w:r>
                </w:p>
                <w:p w14:paraId="75FBB514">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中远海特：</w:t>
                  </w:r>
                  <w:r>
                    <w:rPr>
                      <w:rFonts w:hint="eastAsia"/>
                      <w:bCs/>
                      <w:color w:val="000000"/>
                      <w:sz w:val="24"/>
                    </w:rPr>
                    <w:t>15-20%</w:t>
                  </w:r>
                </w:p>
                <w:p w14:paraId="00A31FA0">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下游：中国境内汽车整车市场</w:t>
                  </w:r>
                </w:p>
                <w:p w14:paraId="7E5C231D">
                  <w:pPr>
                    <w:pStyle w:val="2"/>
                    <w:adjustRightInd w:val="0"/>
                    <w:snapToGrid w:val="0"/>
                    <w:spacing w:after="0"/>
                    <w:rPr>
                      <w:rFonts w:hint="eastAsia" w:ascii="宋体" w:hAnsi="宋体" w:eastAsia="宋体" w:cs="宋体"/>
                      <w:bCs/>
                      <w:color w:val="000000"/>
                      <w:kern w:val="2"/>
                      <w:sz w:val="24"/>
                      <w:szCs w:val="24"/>
                      <w:lang w:val="en-GB" w:eastAsia="zh-CN" w:bidi="ar-SA"/>
                    </w:rPr>
                  </w:pPr>
                  <w:r>
                    <w:rPr>
                      <w:rFonts w:hint="eastAsia" w:ascii="宋体" w:hAnsi="宋体" w:cs="宋体"/>
                      <w:bCs/>
                      <w:color w:val="000000"/>
                      <w:sz w:val="24"/>
                    </w:rPr>
                    <w:t>北汽福田：</w:t>
                  </w:r>
                  <w:r>
                    <w:rPr>
                      <w:rFonts w:hint="eastAsia"/>
                      <w:bCs/>
                      <w:color w:val="000000"/>
                      <w:sz w:val="24"/>
                    </w:rPr>
                    <w:t>5-10%</w:t>
                  </w:r>
                </w:p>
              </w:tc>
            </w:tr>
            <w:tr w14:paraId="153217D6">
              <w:tblPrEx>
                <w:tblCellMar>
                  <w:top w:w="0" w:type="dxa"/>
                  <w:left w:w="10" w:type="dxa"/>
                  <w:bottom w:w="0" w:type="dxa"/>
                  <w:right w:w="10" w:type="dxa"/>
                </w:tblCellMar>
              </w:tblPrEx>
              <w:tc>
                <w:tcPr>
                  <w:tcW w:w="2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E66E7E">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上游：滚装船舶货物运输服务市场</w:t>
                  </w:r>
                </w:p>
                <w:p w14:paraId="57679AC7">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下游：汽车整车市场</w:t>
                  </w:r>
                </w:p>
              </w:tc>
              <w:tc>
                <w:tcPr>
                  <w:tcW w:w="1893"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7B301708">
                  <w:pPr>
                    <w:pStyle w:val="2"/>
                    <w:adjustRightInd w:val="0"/>
                    <w:snapToGrid w:val="0"/>
                    <w:spacing w:after="0"/>
                    <w:jc w:val="left"/>
                    <w:rPr>
                      <w:rFonts w:hint="eastAsia" w:ascii="宋体" w:hAnsi="宋体" w:cs="宋体"/>
                      <w:bCs/>
                      <w:color w:val="000000"/>
                      <w:sz w:val="24"/>
                    </w:rPr>
                  </w:pPr>
                  <w:r>
                    <w:rPr>
                      <w:rFonts w:hint="eastAsia" w:ascii="宋体" w:hAnsi="宋体" w:cs="宋体"/>
                      <w:bCs/>
                      <w:color w:val="000000"/>
                      <w:sz w:val="24"/>
                    </w:rPr>
                    <w:t>上游：中国-非洲航线</w:t>
                  </w:r>
                </w:p>
                <w:p w14:paraId="15496181">
                  <w:pPr>
                    <w:pStyle w:val="2"/>
                    <w:adjustRightInd w:val="0"/>
                    <w:snapToGrid w:val="0"/>
                    <w:spacing w:after="0"/>
                    <w:jc w:val="left"/>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下游：中国境内</w:t>
                  </w:r>
                </w:p>
              </w:tc>
              <w:tc>
                <w:tcPr>
                  <w:tcW w:w="328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top"/>
                </w:tcPr>
                <w:p w14:paraId="457F7695">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上游：中国-非洲航线滚装船舶货物运输服务市场</w:t>
                  </w:r>
                </w:p>
                <w:p w14:paraId="5CE9C578">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中远海特：</w:t>
                  </w:r>
                  <w:r>
                    <w:rPr>
                      <w:rFonts w:hint="eastAsia"/>
                      <w:bCs/>
                      <w:color w:val="000000"/>
                      <w:sz w:val="24"/>
                    </w:rPr>
                    <w:t>20-25%</w:t>
                  </w:r>
                </w:p>
                <w:p w14:paraId="0D388B2F">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下游：中国境内汽车整车市场</w:t>
                  </w:r>
                </w:p>
                <w:p w14:paraId="62B496A6">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如上所述</w:t>
                  </w:r>
                </w:p>
              </w:tc>
            </w:tr>
            <w:tr w14:paraId="791B1423">
              <w:tblPrEx>
                <w:tblCellMar>
                  <w:top w:w="0" w:type="dxa"/>
                  <w:left w:w="10" w:type="dxa"/>
                  <w:bottom w:w="0" w:type="dxa"/>
                  <w:right w:w="10" w:type="dxa"/>
                </w:tblCellMar>
              </w:tblPrEx>
              <w:tc>
                <w:tcPr>
                  <w:tcW w:w="2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4BFF44">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上游：滚装船舶货物运输服务市场</w:t>
                  </w:r>
                </w:p>
                <w:p w14:paraId="178C5596">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下游：汽车整车市场</w:t>
                  </w:r>
                </w:p>
              </w:tc>
              <w:tc>
                <w:tcPr>
                  <w:tcW w:w="1893"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5BC20B42">
                  <w:pPr>
                    <w:pStyle w:val="2"/>
                    <w:adjustRightInd w:val="0"/>
                    <w:snapToGrid w:val="0"/>
                    <w:spacing w:after="0"/>
                    <w:jc w:val="left"/>
                    <w:rPr>
                      <w:rFonts w:hint="eastAsia" w:ascii="宋体" w:hAnsi="宋体" w:cs="宋体"/>
                      <w:bCs/>
                      <w:color w:val="000000"/>
                      <w:sz w:val="24"/>
                    </w:rPr>
                  </w:pPr>
                  <w:r>
                    <w:rPr>
                      <w:rFonts w:hint="eastAsia" w:ascii="宋体" w:hAnsi="宋体" w:cs="宋体"/>
                      <w:bCs/>
                      <w:color w:val="000000"/>
                      <w:sz w:val="24"/>
                    </w:rPr>
                    <w:t>上游：中国-欧洲航线</w:t>
                  </w:r>
                </w:p>
                <w:p w14:paraId="54A65862">
                  <w:pPr>
                    <w:pStyle w:val="2"/>
                    <w:adjustRightInd w:val="0"/>
                    <w:snapToGrid w:val="0"/>
                    <w:spacing w:after="0"/>
                    <w:jc w:val="left"/>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下游：中国境内</w:t>
                  </w:r>
                </w:p>
              </w:tc>
              <w:tc>
                <w:tcPr>
                  <w:tcW w:w="328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top"/>
                </w:tcPr>
                <w:p w14:paraId="07B935D0">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上游：中国-欧洲航线滚装船舶货物运输服务市场</w:t>
                  </w:r>
                </w:p>
                <w:p w14:paraId="6235B901">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中远海特：</w:t>
                  </w:r>
                  <w:r>
                    <w:rPr>
                      <w:rFonts w:hint="eastAsia"/>
                      <w:bCs/>
                      <w:color w:val="000000"/>
                      <w:sz w:val="24"/>
                    </w:rPr>
                    <w:t>15-20%</w:t>
                  </w:r>
                </w:p>
                <w:p w14:paraId="7D926094">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下游：中国境内汽车整车市场</w:t>
                  </w:r>
                </w:p>
                <w:p w14:paraId="0E8E9AC6">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如上所述</w:t>
                  </w:r>
                </w:p>
              </w:tc>
            </w:tr>
            <w:tr w14:paraId="526A93AD">
              <w:tblPrEx>
                <w:tblCellMar>
                  <w:top w:w="0" w:type="dxa"/>
                  <w:left w:w="10" w:type="dxa"/>
                  <w:bottom w:w="0" w:type="dxa"/>
                  <w:right w:w="10" w:type="dxa"/>
                </w:tblCellMar>
              </w:tblPrEx>
              <w:tc>
                <w:tcPr>
                  <w:tcW w:w="2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24799C">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上游：滚装船舶货物运输服务市场</w:t>
                  </w:r>
                </w:p>
                <w:p w14:paraId="1BAB3328">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下游：汽车整车市场</w:t>
                  </w:r>
                </w:p>
              </w:tc>
              <w:tc>
                <w:tcPr>
                  <w:tcW w:w="1893"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54FA6EFF">
                  <w:pPr>
                    <w:pStyle w:val="2"/>
                    <w:adjustRightInd w:val="0"/>
                    <w:snapToGrid w:val="0"/>
                    <w:spacing w:after="0"/>
                    <w:jc w:val="left"/>
                    <w:rPr>
                      <w:rFonts w:hint="eastAsia" w:ascii="宋体" w:hAnsi="宋体" w:cs="宋体"/>
                      <w:bCs/>
                      <w:color w:val="000000"/>
                      <w:sz w:val="24"/>
                    </w:rPr>
                  </w:pPr>
                  <w:r>
                    <w:rPr>
                      <w:rFonts w:hint="eastAsia" w:ascii="宋体" w:hAnsi="宋体" w:cs="宋体"/>
                      <w:bCs/>
                      <w:color w:val="000000"/>
                      <w:sz w:val="24"/>
                    </w:rPr>
                    <w:t>上游：中国-中南美航线</w:t>
                  </w:r>
                </w:p>
                <w:p w14:paraId="3F91CF03">
                  <w:pPr>
                    <w:pStyle w:val="2"/>
                    <w:adjustRightInd w:val="0"/>
                    <w:snapToGrid w:val="0"/>
                    <w:spacing w:after="0"/>
                    <w:jc w:val="left"/>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下游：中国境内</w:t>
                  </w:r>
                </w:p>
              </w:tc>
              <w:tc>
                <w:tcPr>
                  <w:tcW w:w="328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top"/>
                </w:tcPr>
                <w:p w14:paraId="699F9F44">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上游：中国-中南美航线滚装船舶货物运输服务市场</w:t>
                  </w:r>
                </w:p>
                <w:p w14:paraId="12D02FCA">
                  <w:pPr>
                    <w:pStyle w:val="2"/>
                    <w:adjustRightInd w:val="0"/>
                    <w:snapToGrid w:val="0"/>
                    <w:spacing w:after="0"/>
                    <w:rPr>
                      <w:rFonts w:hint="eastAsia"/>
                      <w:bCs/>
                      <w:color w:val="000000"/>
                      <w:sz w:val="24"/>
                    </w:rPr>
                  </w:pPr>
                  <w:r>
                    <w:rPr>
                      <w:rFonts w:hint="eastAsia" w:ascii="宋体" w:hAnsi="宋体" w:cs="宋体"/>
                      <w:bCs/>
                      <w:color w:val="000000"/>
                      <w:sz w:val="24"/>
                    </w:rPr>
                    <w:t>中远海特：</w:t>
                  </w:r>
                  <w:r>
                    <w:rPr>
                      <w:rFonts w:hint="eastAsia"/>
                      <w:bCs/>
                      <w:color w:val="000000"/>
                      <w:sz w:val="24"/>
                    </w:rPr>
                    <w:t>5-10%</w:t>
                  </w:r>
                </w:p>
                <w:p w14:paraId="6FD4DF33">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下游：中国境内汽车整车市场</w:t>
                  </w:r>
                </w:p>
                <w:p w14:paraId="5BA50C6A">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如上所述</w:t>
                  </w:r>
                </w:p>
              </w:tc>
            </w:tr>
            <w:tr w14:paraId="22F9F1E3">
              <w:tblPrEx>
                <w:tblCellMar>
                  <w:top w:w="0" w:type="dxa"/>
                  <w:left w:w="10" w:type="dxa"/>
                  <w:bottom w:w="0" w:type="dxa"/>
                  <w:right w:w="10" w:type="dxa"/>
                </w:tblCellMar>
              </w:tblPrEx>
              <w:tc>
                <w:tcPr>
                  <w:tcW w:w="2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A25060">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上游：滚装船舶货物运输服务市场</w:t>
                  </w:r>
                </w:p>
                <w:p w14:paraId="18353BAC">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下游：汽车整车市场</w:t>
                  </w:r>
                </w:p>
              </w:tc>
              <w:tc>
                <w:tcPr>
                  <w:tcW w:w="1893"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59E24647">
                  <w:pPr>
                    <w:pStyle w:val="2"/>
                    <w:adjustRightInd w:val="0"/>
                    <w:snapToGrid w:val="0"/>
                    <w:spacing w:after="0"/>
                    <w:jc w:val="left"/>
                    <w:rPr>
                      <w:rFonts w:hint="eastAsia" w:ascii="宋体" w:hAnsi="宋体" w:cs="宋体"/>
                      <w:bCs/>
                      <w:color w:val="000000"/>
                      <w:sz w:val="24"/>
                    </w:rPr>
                  </w:pPr>
                  <w:r>
                    <w:rPr>
                      <w:rFonts w:hint="eastAsia" w:ascii="宋体" w:hAnsi="宋体" w:cs="宋体"/>
                      <w:bCs/>
                      <w:color w:val="000000"/>
                      <w:sz w:val="24"/>
                    </w:rPr>
                    <w:t>上游：中国-地中海航线</w:t>
                  </w:r>
                </w:p>
                <w:p w14:paraId="65A9E188">
                  <w:pPr>
                    <w:pStyle w:val="2"/>
                    <w:adjustRightInd w:val="0"/>
                    <w:snapToGrid w:val="0"/>
                    <w:spacing w:after="0"/>
                    <w:jc w:val="left"/>
                    <w:rPr>
                      <w:rFonts w:hint="eastAsia" w:ascii="宋体" w:hAnsi="宋体" w:eastAsia="宋体" w:cs="宋体"/>
                      <w:bCs/>
                      <w:color w:val="000000"/>
                      <w:kern w:val="2"/>
                      <w:sz w:val="24"/>
                      <w:szCs w:val="24"/>
                      <w:lang w:val="en-GB" w:eastAsia="zh-CN" w:bidi="ar-SA"/>
                    </w:rPr>
                  </w:pPr>
                  <w:r>
                    <w:rPr>
                      <w:rFonts w:hint="eastAsia" w:ascii="宋体" w:hAnsi="宋体" w:cs="宋体"/>
                      <w:bCs/>
                      <w:color w:val="000000"/>
                      <w:sz w:val="24"/>
                    </w:rPr>
                    <w:t>下游：中国境内</w:t>
                  </w:r>
                </w:p>
              </w:tc>
              <w:tc>
                <w:tcPr>
                  <w:tcW w:w="328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top"/>
                </w:tcPr>
                <w:p w14:paraId="1A5281F2">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上游：中国-地中海航线滚装船舶货物运输服务市场</w:t>
                  </w:r>
                </w:p>
                <w:p w14:paraId="23CE08AA">
                  <w:pPr>
                    <w:pStyle w:val="2"/>
                    <w:adjustRightInd w:val="0"/>
                    <w:snapToGrid w:val="0"/>
                    <w:spacing w:after="0"/>
                    <w:rPr>
                      <w:rFonts w:hint="eastAsia"/>
                      <w:bCs/>
                      <w:color w:val="000000"/>
                      <w:sz w:val="24"/>
                    </w:rPr>
                  </w:pPr>
                  <w:r>
                    <w:rPr>
                      <w:rFonts w:hint="eastAsia" w:ascii="宋体" w:hAnsi="宋体" w:cs="宋体"/>
                      <w:bCs/>
                      <w:color w:val="000000"/>
                      <w:sz w:val="24"/>
                    </w:rPr>
                    <w:t>中远海特：</w:t>
                  </w:r>
                  <w:r>
                    <w:rPr>
                      <w:rFonts w:hint="eastAsia"/>
                      <w:bCs/>
                      <w:color w:val="000000"/>
                      <w:sz w:val="24"/>
                    </w:rPr>
                    <w:t>10-15%</w:t>
                  </w:r>
                </w:p>
                <w:p w14:paraId="2E508AF6">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下游：中国境内汽车整车市场</w:t>
                  </w:r>
                </w:p>
                <w:p w14:paraId="2D571D80">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如上所述</w:t>
                  </w:r>
                </w:p>
              </w:tc>
            </w:tr>
            <w:tr w14:paraId="77248BC5">
              <w:tblPrEx>
                <w:tblCellMar>
                  <w:top w:w="0" w:type="dxa"/>
                  <w:left w:w="10" w:type="dxa"/>
                  <w:bottom w:w="0" w:type="dxa"/>
                  <w:right w:w="10" w:type="dxa"/>
                </w:tblCellMar>
              </w:tblPrEx>
              <w:tc>
                <w:tcPr>
                  <w:tcW w:w="2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A4AB63">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上游：滚装船舶货物运输服务市场</w:t>
                  </w:r>
                </w:p>
                <w:p w14:paraId="6D3ADA2E">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下游：汽车整车市场</w:t>
                  </w:r>
                </w:p>
              </w:tc>
              <w:tc>
                <w:tcPr>
                  <w:tcW w:w="1893"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vAlign w:val="center"/>
                </w:tcPr>
                <w:p w14:paraId="67E44E28">
                  <w:pPr>
                    <w:pStyle w:val="2"/>
                    <w:adjustRightInd w:val="0"/>
                    <w:snapToGrid w:val="0"/>
                    <w:spacing w:after="0"/>
                    <w:jc w:val="left"/>
                    <w:rPr>
                      <w:rFonts w:hint="eastAsia" w:ascii="宋体" w:hAnsi="宋体" w:cs="宋体"/>
                      <w:bCs/>
                      <w:color w:val="000000"/>
                      <w:sz w:val="24"/>
                    </w:rPr>
                  </w:pPr>
                  <w:r>
                    <w:rPr>
                      <w:rFonts w:hint="eastAsia" w:ascii="宋体" w:hAnsi="宋体" w:cs="宋体"/>
                      <w:bCs/>
                      <w:color w:val="000000"/>
                      <w:sz w:val="24"/>
                    </w:rPr>
                    <w:t>上游：中国-澳新航线</w:t>
                  </w:r>
                </w:p>
                <w:p w14:paraId="0881C07B">
                  <w:pPr>
                    <w:pStyle w:val="2"/>
                    <w:adjustRightInd w:val="0"/>
                    <w:snapToGrid w:val="0"/>
                    <w:spacing w:after="0"/>
                    <w:jc w:val="left"/>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下游：中国境内</w:t>
                  </w:r>
                </w:p>
              </w:tc>
              <w:tc>
                <w:tcPr>
                  <w:tcW w:w="3286" w:type="dxa"/>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top"/>
                </w:tcPr>
                <w:p w14:paraId="26B6C240">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上游：中国-澳新航线滚装船舶货物运输服务市场</w:t>
                  </w:r>
                </w:p>
                <w:p w14:paraId="697B0908">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中远海特：</w:t>
                  </w:r>
                  <w:r>
                    <w:rPr>
                      <w:rFonts w:hint="eastAsia"/>
                      <w:bCs/>
                      <w:color w:val="000000"/>
                      <w:sz w:val="24"/>
                    </w:rPr>
                    <w:t>5-10%</w:t>
                  </w:r>
                </w:p>
                <w:p w14:paraId="76B7969F">
                  <w:pPr>
                    <w:pStyle w:val="2"/>
                    <w:adjustRightInd w:val="0"/>
                    <w:snapToGrid w:val="0"/>
                    <w:spacing w:after="0"/>
                    <w:rPr>
                      <w:rFonts w:hint="eastAsia" w:ascii="宋体" w:hAnsi="宋体" w:cs="宋体"/>
                      <w:bCs/>
                      <w:color w:val="000000"/>
                      <w:sz w:val="24"/>
                    </w:rPr>
                  </w:pPr>
                  <w:r>
                    <w:rPr>
                      <w:rFonts w:hint="eastAsia" w:ascii="宋体" w:hAnsi="宋体" w:cs="宋体"/>
                      <w:bCs/>
                      <w:color w:val="000000"/>
                      <w:sz w:val="24"/>
                    </w:rPr>
                    <w:t>下游：中国境内汽车整车市场</w:t>
                  </w:r>
                </w:p>
                <w:p w14:paraId="5C218F60">
                  <w:pPr>
                    <w:pStyle w:val="2"/>
                    <w:adjustRightInd w:val="0"/>
                    <w:snapToGrid w:val="0"/>
                    <w:spacing w:after="0"/>
                    <w:rPr>
                      <w:rFonts w:hint="eastAsia" w:ascii="宋体" w:hAnsi="宋体" w:eastAsia="宋体" w:cs="宋体"/>
                      <w:b/>
                      <w:color w:val="000000"/>
                      <w:kern w:val="2"/>
                      <w:sz w:val="24"/>
                      <w:szCs w:val="24"/>
                      <w:lang w:val="en-GB" w:eastAsia="zh-CN" w:bidi="ar-SA"/>
                    </w:rPr>
                  </w:pPr>
                  <w:r>
                    <w:rPr>
                      <w:rFonts w:hint="eastAsia" w:ascii="宋体" w:hAnsi="宋体" w:cs="宋体"/>
                      <w:bCs/>
                      <w:color w:val="000000"/>
                      <w:sz w:val="24"/>
                    </w:rPr>
                    <w:t>如上所述</w:t>
                  </w:r>
                </w:p>
              </w:tc>
            </w:tr>
          </w:tbl>
          <w:p w14:paraId="21AA4F12">
            <w:pPr>
              <w:pStyle w:val="2"/>
              <w:widowControl/>
              <w:adjustRightInd w:val="0"/>
              <w:snapToGrid w:val="0"/>
              <w:spacing w:after="0"/>
              <w:rPr>
                <w:rFonts w:hint="eastAsia"/>
                <w:bCs/>
                <w:color w:val="000000"/>
                <w:kern w:val="0"/>
                <w:sz w:val="24"/>
              </w:rPr>
            </w:pPr>
          </w:p>
        </w:tc>
      </w:tr>
    </w:tbl>
    <w:p w14:paraId="44CB2634">
      <w:pPr>
        <w:adjustRightInd w:val="0"/>
        <w:snapToGrid w:val="0"/>
        <w:rPr>
          <w:rFonts w:eastAsiaTheme="minorEastAsia"/>
        </w:rPr>
      </w:pPr>
    </w:p>
    <w:p w14:paraId="35F32C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E4989"/>
    <w:rsid w:val="66CE4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2026-03-04T03:32:00Z</dcterms:created>
  <dc:creator>郑玉丽</dc:creator>
  <cp:lastModifiedBy>郑玉丽</cp:lastModifiedBy>
  <dcterms:modified xsi:type="dcterms:W3CDTF">2026-03-04T03:33:51Z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76996C5560F0406AA506A6E93A5811E0_11</vt:lpwstr>
  </property>
  <property fmtid="{D5CDD505-2E9C-101B-9397-08002B2CF9AE}" pid="4" name="KSOTemplateDocerSaveRecord">
    <vt:lpwstr>eyJoZGlkIjoiODNjM2VkZWUwYjdkZDYzZGY2NmZiZGNiZGIyMjFjYWIiLCJ1c2VySWQiOiIxMjE0ODEzMDc5In0=</vt:lpwstr>
  </property>
</Properties>
</file>