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BA5DE">
      <w:pPr>
        <w:widowControl/>
        <w:spacing w:after="240"/>
        <w:jc w:val="both"/>
        <w:rPr>
          <w:rFonts w:hint="eastAsia" w:ascii="方正小标宋简体" w:hAnsi="方正小标宋简体" w:eastAsia="方正小标宋简体" w:cs="方正小标宋简体"/>
          <w:bCs/>
          <w:kern w:val="0"/>
          <w:sz w:val="44"/>
          <w:szCs w:val="44"/>
          <w:lang w:val="en-GB" w:bidi="ar-AE"/>
        </w:rPr>
      </w:pPr>
    </w:p>
    <w:p w14:paraId="38FAADC5">
      <w:pPr>
        <w:widowControl/>
        <w:spacing w:after="240"/>
        <w:jc w:val="center"/>
        <w:rPr>
          <w:rFonts w:hint="eastAsia" w:ascii="方正小标宋简体" w:hAnsi="方正小标宋简体" w:eastAsia="方正小标宋简体" w:cs="方正小标宋简体"/>
          <w:bCs/>
          <w:kern w:val="0"/>
          <w:sz w:val="44"/>
          <w:szCs w:val="44"/>
          <w:lang w:val="en-GB" w:bidi="ar-AE"/>
        </w:rPr>
      </w:pPr>
      <w:r>
        <w:rPr>
          <w:rFonts w:hint="eastAsia" w:ascii="方正小标宋简体" w:hAnsi="方正小标宋简体" w:eastAsia="方正小标宋简体" w:cs="方正小标宋简体"/>
          <w:bCs/>
          <w:kern w:val="0"/>
          <w:sz w:val="44"/>
          <w:szCs w:val="44"/>
          <w:lang w:val="en-GB" w:bidi="ar-AE"/>
        </w:rPr>
        <w:t>经营者集中简易案件公示表</w:t>
      </w:r>
    </w:p>
    <w:tbl>
      <w:tblPr>
        <w:tblStyle w:val="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5D8F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noWrap w:val="0"/>
            <w:vAlign w:val="center"/>
          </w:tcPr>
          <w:p w14:paraId="79FBEA29">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en-GB" w:bidi="ar-AE"/>
              </w:rPr>
            </w:pPr>
            <w:r>
              <w:rPr>
                <w:rFonts w:hint="default" w:ascii="Times New Roman" w:hAnsi="Times New Roman" w:eastAsia="宋体" w:cs="Times New Roman"/>
                <w:bCs/>
                <w:color w:val="000000"/>
                <w:kern w:val="2"/>
                <w:sz w:val="24"/>
                <w:szCs w:val="24"/>
                <w:lang w:val="en-US" w:eastAsia="zh-CN" w:bidi="ar-SA"/>
              </w:rPr>
              <w:t>案件名称</w:t>
            </w:r>
          </w:p>
        </w:tc>
        <w:tc>
          <w:tcPr>
            <w:tcW w:w="7700" w:type="dxa"/>
            <w:gridSpan w:val="2"/>
            <w:noWrap w:val="0"/>
            <w:vAlign w:val="center"/>
          </w:tcPr>
          <w:p w14:paraId="2D58A9BD">
            <w:pPr>
              <w:snapToGrid w:val="0"/>
              <w:rPr>
                <w:rFonts w:hint="default" w:ascii="Times New Roman" w:hAnsi="Times New Roman" w:eastAsia="宋体" w:cs="Times New Roman"/>
                <w:bCs/>
                <w:color w:val="000000"/>
                <w:kern w:val="0"/>
                <w:sz w:val="24"/>
                <w:lang w:val="en-US" w:bidi="ar-AE"/>
              </w:rPr>
            </w:pPr>
            <w:r>
              <w:rPr>
                <w:rFonts w:hint="default" w:ascii="Times New Roman" w:hAnsi="Times New Roman" w:eastAsia="宋体" w:cs="Times New Roman"/>
                <w:color w:val="000000"/>
                <w:sz w:val="24"/>
              </w:rPr>
              <w:t>富士康工业互联网股份有限公司与新日兴股份有限公司新设合营企业案</w:t>
            </w:r>
          </w:p>
        </w:tc>
      </w:tr>
      <w:tr w14:paraId="35D3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noWrap w:val="0"/>
            <w:vAlign w:val="center"/>
          </w:tcPr>
          <w:p w14:paraId="5A5F134A">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bCs/>
                <w:color w:val="000000"/>
                <w:kern w:val="2"/>
                <w:sz w:val="24"/>
                <w:szCs w:val="24"/>
                <w:lang w:val="en-US" w:eastAsia="zh-CN" w:bidi="ar-SA"/>
              </w:rPr>
              <w:t>交易概况（限200字内）</w:t>
            </w:r>
          </w:p>
        </w:tc>
        <w:tc>
          <w:tcPr>
            <w:tcW w:w="7700" w:type="dxa"/>
            <w:gridSpan w:val="2"/>
            <w:noWrap w:val="0"/>
            <w:vAlign w:val="center"/>
          </w:tcPr>
          <w:p w14:paraId="712ABED5">
            <w:pPr>
              <w:snapToGrid w:val="0"/>
              <w:rPr>
                <w:rFonts w:hint="default" w:ascii="Times New Roman" w:hAnsi="Times New Roman" w:eastAsia="宋体" w:cs="Times New Roman"/>
                <w:bCs/>
                <w:color w:val="000000"/>
                <w:kern w:val="0"/>
                <w:sz w:val="24"/>
                <w:lang w:val="en-GB" w:bidi="ar-AE"/>
              </w:rPr>
            </w:pPr>
            <w:r>
              <w:rPr>
                <w:rFonts w:hint="default" w:ascii="Times New Roman" w:hAnsi="Times New Roman" w:eastAsia="宋体" w:cs="Times New Roman"/>
                <w:color w:val="000000"/>
                <w:sz w:val="24"/>
              </w:rPr>
              <w:t>富士康工业互联网股份有限公司</w:t>
            </w:r>
            <w:r>
              <w:rPr>
                <w:rFonts w:hint="default" w:ascii="Times New Roman" w:hAnsi="Times New Roman" w:eastAsia="宋体" w:cs="Times New Roman"/>
                <w:b/>
                <w:bCs/>
                <w:color w:val="000000"/>
                <w:sz w:val="24"/>
              </w:rPr>
              <w:t>（“工业富联”）</w:t>
            </w:r>
            <w:r>
              <w:rPr>
                <w:rFonts w:hint="default" w:ascii="Times New Roman" w:hAnsi="Times New Roman" w:eastAsia="宋体" w:cs="Times New Roman"/>
                <w:color w:val="000000"/>
                <w:sz w:val="24"/>
                <w:lang w:eastAsia="zh-CN"/>
              </w:rPr>
              <w:t>通过全资子公司</w:t>
            </w:r>
            <w:r>
              <w:rPr>
                <w:rFonts w:hint="default" w:ascii="Times New Roman" w:hAnsi="Times New Roman" w:eastAsia="宋体" w:cs="Times New Roman"/>
                <w:color w:val="000000"/>
                <w:sz w:val="24"/>
              </w:rPr>
              <w:t>与新日兴股份有限公司</w:t>
            </w:r>
            <w:r>
              <w:rPr>
                <w:rFonts w:hint="default" w:ascii="Times New Roman" w:hAnsi="Times New Roman" w:eastAsia="宋体" w:cs="Times New Roman"/>
                <w:b/>
                <w:bCs/>
                <w:color w:val="000000"/>
                <w:sz w:val="24"/>
              </w:rPr>
              <w:t>（“新日兴”）</w:t>
            </w:r>
            <w:r>
              <w:rPr>
                <w:rFonts w:hint="default" w:ascii="Times New Roman" w:hAnsi="Times New Roman" w:eastAsia="宋体" w:cs="Times New Roman"/>
                <w:color w:val="000000"/>
                <w:sz w:val="24"/>
              </w:rPr>
              <w:t>签署协议，拟</w:t>
            </w:r>
            <w:r>
              <w:rPr>
                <w:rFonts w:hint="default" w:ascii="Times New Roman" w:hAnsi="Times New Roman" w:eastAsia="宋体" w:cs="Times New Roman"/>
                <w:sz w:val="24"/>
              </w:rPr>
              <w:t>共同新设</w:t>
            </w:r>
            <w:r>
              <w:rPr>
                <w:rFonts w:hint="default" w:ascii="Times New Roman" w:hAnsi="Times New Roman" w:eastAsia="宋体" w:cs="Times New Roman"/>
                <w:color w:val="000000"/>
                <w:sz w:val="24"/>
              </w:rPr>
              <w:t>合营企业</w:t>
            </w:r>
            <w:r>
              <w:rPr>
                <w:rFonts w:hint="default" w:ascii="Times New Roman" w:hAnsi="Times New Roman" w:eastAsia="宋体" w:cs="Times New Roman"/>
                <w:color w:val="000000"/>
                <w:sz w:val="24"/>
                <w:lang w:eastAsia="zh-CN"/>
              </w:rPr>
              <w:t>，</w:t>
            </w:r>
            <w:r>
              <w:rPr>
                <w:rFonts w:hint="default" w:ascii="Times New Roman" w:hAnsi="Times New Roman" w:eastAsia="宋体" w:cs="Times New Roman"/>
                <w:color w:val="000000"/>
                <w:sz w:val="24"/>
              </w:rPr>
              <w:t>主要从事屏幕折叠铰链</w:t>
            </w:r>
            <w:r>
              <w:rPr>
                <w:rFonts w:hint="eastAsia" w:ascii="Times New Roman" w:hAnsi="Times New Roman" w:eastAsia="宋体" w:cs="Times New Roman"/>
                <w:color w:val="000000"/>
                <w:sz w:val="24"/>
                <w:lang w:eastAsia="zh-CN"/>
              </w:rPr>
              <w:t>业务</w:t>
            </w:r>
            <w:bookmarkStart w:id="0" w:name="_GoBack"/>
            <w:bookmarkEnd w:id="0"/>
            <w:r>
              <w:rPr>
                <w:rFonts w:hint="default" w:ascii="Times New Roman" w:hAnsi="Times New Roman" w:eastAsia="宋体" w:cs="Times New Roman"/>
                <w:color w:val="000000"/>
                <w:sz w:val="24"/>
              </w:rPr>
              <w:t>。交易后，工业富联与新日兴各持有合营企业50%的股份，共同控制合营企业。</w:t>
            </w:r>
          </w:p>
        </w:tc>
      </w:tr>
      <w:tr w14:paraId="1D15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noWrap w:val="0"/>
            <w:vAlign w:val="center"/>
          </w:tcPr>
          <w:p w14:paraId="53C29264">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bCs/>
                <w:color w:val="000000"/>
                <w:kern w:val="2"/>
                <w:sz w:val="24"/>
                <w:szCs w:val="24"/>
                <w:lang w:val="en-US" w:eastAsia="zh-CN" w:bidi="ar-SA"/>
              </w:rPr>
              <w:t>参与集中的经营者简介（每个限100字以内）</w:t>
            </w:r>
          </w:p>
        </w:tc>
        <w:tc>
          <w:tcPr>
            <w:tcW w:w="1607" w:type="dxa"/>
            <w:noWrap w:val="0"/>
            <w:vAlign w:val="center"/>
          </w:tcPr>
          <w:p w14:paraId="6A912958">
            <w:pPr>
              <w:snapToGrid w:val="0"/>
              <w:rPr>
                <w:rFonts w:hint="default" w:ascii="Times New Roman" w:hAnsi="Times New Roman" w:eastAsia="宋体" w:cs="Times New Roman"/>
                <w:bCs/>
                <w:color w:val="000000"/>
                <w:sz w:val="24"/>
                <w:szCs w:val="24"/>
                <w:lang w:val="en-US" w:eastAsia="zh-CN" w:bidi="ar-AE"/>
              </w:rPr>
            </w:pPr>
            <w:r>
              <w:rPr>
                <w:rFonts w:hint="default" w:ascii="Times New Roman" w:hAnsi="Times New Roman" w:eastAsia="宋体" w:cs="Times New Roman"/>
                <w:color w:val="000000"/>
                <w:sz w:val="24"/>
              </w:rPr>
              <w:t>1.工业富联</w:t>
            </w:r>
          </w:p>
        </w:tc>
        <w:tc>
          <w:tcPr>
            <w:tcW w:w="6093" w:type="dxa"/>
            <w:noWrap w:val="0"/>
            <w:vAlign w:val="top"/>
          </w:tcPr>
          <w:p w14:paraId="417F1389">
            <w:pPr>
              <w:snapToGrid w:val="0"/>
              <w:rPr>
                <w:rFonts w:hint="default" w:ascii="Times New Roman" w:hAnsi="Times New Roman" w:eastAsia="宋体" w:cs="Times New Roman"/>
                <w:bCs/>
                <w:color w:val="000000"/>
                <w:sz w:val="24"/>
              </w:rPr>
            </w:pPr>
            <w:r>
              <w:rPr>
                <w:rFonts w:hint="default" w:ascii="Times New Roman" w:hAnsi="Times New Roman" w:eastAsia="宋体" w:cs="Times New Roman"/>
                <w:color w:val="000000"/>
                <w:sz w:val="24"/>
              </w:rPr>
              <w:t>工业富联</w:t>
            </w:r>
            <w:r>
              <w:rPr>
                <w:rFonts w:hint="default" w:ascii="Times New Roman" w:hAnsi="Times New Roman" w:eastAsia="宋体" w:cs="Times New Roman"/>
                <w:bCs/>
                <w:color w:val="000000"/>
                <w:sz w:val="24"/>
              </w:rPr>
              <w:t>于2015年3月6日成立于广东省深圳市，为上海证券交易所上市公司，主要业务包含云计算、通信网络及移动网络设备、工业互联网。</w:t>
            </w:r>
          </w:p>
          <w:p w14:paraId="6D19DE00">
            <w:pPr>
              <w:snapToGrid w:val="0"/>
              <w:rPr>
                <w:rFonts w:hint="default" w:ascii="Times New Roman" w:hAnsi="Times New Roman" w:eastAsia="宋体" w:cs="Times New Roman"/>
                <w:sz w:val="24"/>
                <w:szCs w:val="24"/>
                <w:lang w:val="en-US" w:eastAsia="zh-CN" w:bidi="ar-AE"/>
              </w:rPr>
            </w:pPr>
            <w:r>
              <w:rPr>
                <w:rFonts w:hint="default" w:ascii="Times New Roman" w:hAnsi="Times New Roman" w:eastAsia="宋体" w:cs="Times New Roman"/>
                <w:color w:val="000000"/>
                <w:sz w:val="24"/>
              </w:rPr>
              <w:t>工业富联无最终控制人。</w:t>
            </w:r>
          </w:p>
        </w:tc>
      </w:tr>
      <w:tr w14:paraId="10E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noWrap w:val="0"/>
            <w:vAlign w:val="center"/>
          </w:tcPr>
          <w:p w14:paraId="6509C538">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p>
        </w:tc>
        <w:tc>
          <w:tcPr>
            <w:tcW w:w="1607" w:type="dxa"/>
            <w:noWrap w:val="0"/>
            <w:vAlign w:val="center"/>
          </w:tcPr>
          <w:p w14:paraId="10486CC2">
            <w:pPr>
              <w:snapToGrid w:val="0"/>
              <w:rPr>
                <w:rFonts w:hint="default" w:ascii="Times New Roman" w:hAnsi="Times New Roman" w:eastAsia="宋体" w:cs="Times New Roman"/>
                <w:bCs/>
                <w:color w:val="000000"/>
                <w:sz w:val="24"/>
                <w:szCs w:val="24"/>
                <w:lang w:val="en-US" w:eastAsia="zh-CN" w:bidi="ar-AE"/>
              </w:rPr>
            </w:pPr>
            <w:r>
              <w:rPr>
                <w:rFonts w:hint="default" w:ascii="Times New Roman" w:hAnsi="Times New Roman" w:eastAsia="宋体" w:cs="Times New Roman"/>
                <w:color w:val="000000"/>
                <w:sz w:val="24"/>
              </w:rPr>
              <w:t>2.新日兴</w:t>
            </w:r>
          </w:p>
        </w:tc>
        <w:tc>
          <w:tcPr>
            <w:tcW w:w="6093" w:type="dxa"/>
            <w:noWrap w:val="0"/>
            <w:vAlign w:val="top"/>
          </w:tcPr>
          <w:p w14:paraId="37BB4665">
            <w:pPr>
              <w:snapToGrid w:val="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新日兴于1968年6月28日于成立于台湾省新北市，</w:t>
            </w:r>
            <w:r>
              <w:rPr>
                <w:rFonts w:hint="default" w:ascii="Times New Roman" w:hAnsi="Times New Roman" w:eastAsia="宋体" w:cs="Times New Roman"/>
                <w:bCs/>
                <w:color w:val="000000"/>
                <w:sz w:val="24"/>
              </w:rPr>
              <w:t>为台湾证券交易所上市公司，</w:t>
            </w:r>
            <w:r>
              <w:rPr>
                <w:rFonts w:hint="default" w:ascii="Times New Roman" w:hAnsi="Times New Roman" w:eastAsia="宋体" w:cs="Times New Roman"/>
                <w:color w:val="000000"/>
                <w:sz w:val="24"/>
              </w:rPr>
              <w:t>主要业务为枢纽研发、制造与销售，以及精密金属冲压件与弹簧制品的交易。</w:t>
            </w:r>
          </w:p>
          <w:p w14:paraId="475DA7DD">
            <w:pPr>
              <w:snapToGrid w:val="0"/>
              <w:rPr>
                <w:rFonts w:hint="default" w:ascii="Times New Roman" w:hAnsi="Times New Roman" w:eastAsia="宋体" w:cs="Times New Roman"/>
                <w:bCs/>
                <w:color w:val="000000"/>
                <w:kern w:val="0"/>
                <w:sz w:val="24"/>
                <w:lang w:val="en-GB" w:bidi="ar-AE"/>
              </w:rPr>
            </w:pPr>
            <w:r>
              <w:rPr>
                <w:rFonts w:hint="default" w:ascii="Times New Roman" w:hAnsi="Times New Roman" w:eastAsia="宋体" w:cs="Times New Roman"/>
                <w:color w:val="000000"/>
                <w:sz w:val="24"/>
              </w:rPr>
              <w:t>新日兴最终控制人为自然人，主要业务同样为枢纽研发、制造与销售，以及精密金属冲压件与弹簧制品的交易。</w:t>
            </w:r>
          </w:p>
        </w:tc>
      </w:tr>
      <w:tr w14:paraId="0BA4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noWrap w:val="0"/>
            <w:vAlign w:val="center"/>
          </w:tcPr>
          <w:p w14:paraId="4375831F">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bCs/>
                <w:color w:val="000000"/>
                <w:kern w:val="2"/>
                <w:sz w:val="24"/>
                <w:szCs w:val="24"/>
                <w:lang w:val="en-US" w:eastAsia="zh-CN" w:bidi="ar-SA"/>
              </w:rPr>
              <w:t>简易案件理由（可以单选，也可以多选）</w:t>
            </w:r>
          </w:p>
        </w:tc>
        <w:tc>
          <w:tcPr>
            <w:tcW w:w="7700" w:type="dxa"/>
            <w:gridSpan w:val="2"/>
            <w:noWrap w:val="0"/>
            <w:vAlign w:val="center"/>
          </w:tcPr>
          <w:p w14:paraId="3EE48416">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bCs/>
                <w:color w:val="000000"/>
                <w:kern w:val="2"/>
                <w:sz w:val="24"/>
                <w:szCs w:val="24"/>
                <w:lang w:val="en-US" w:eastAsia="zh-CN" w:bidi="ar-SA"/>
              </w:rPr>
              <w:sym w:font="Wingdings" w:char="00A8"/>
            </w:r>
            <w:r>
              <w:rPr>
                <w:rFonts w:hint="default" w:ascii="Times New Roman" w:hAnsi="Times New Roman" w:eastAsia="宋体" w:cs="Times New Roman"/>
                <w:bCs/>
                <w:color w:val="000000"/>
                <w:kern w:val="2"/>
                <w:sz w:val="24"/>
                <w:szCs w:val="24"/>
                <w:lang w:val="en-US" w:eastAsia="zh-CN" w:bidi="ar-SA"/>
              </w:rPr>
              <w:t xml:space="preserve"> 1.在同一相关市场，参与集中的经营者所占的市场份额之和小于15%。</w:t>
            </w:r>
          </w:p>
        </w:tc>
      </w:tr>
      <w:tr w14:paraId="463F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noWrap w:val="0"/>
            <w:vAlign w:val="center"/>
          </w:tcPr>
          <w:p w14:paraId="5307EA4F">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p>
        </w:tc>
        <w:tc>
          <w:tcPr>
            <w:tcW w:w="7700" w:type="dxa"/>
            <w:gridSpan w:val="2"/>
            <w:noWrap w:val="0"/>
            <w:vAlign w:val="center"/>
          </w:tcPr>
          <w:p w14:paraId="662A2B55">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color w:val="000000"/>
                <w:kern w:val="2"/>
                <w:sz w:val="24"/>
                <w:szCs w:val="24"/>
                <w:lang w:val="en-US" w:eastAsia="zh-CN" w:bidi="ar-SA"/>
              </w:rPr>
              <w:sym w:font="Wingdings" w:char="00A8"/>
            </w:r>
            <w:r>
              <w:rPr>
                <w:rFonts w:hint="default" w:ascii="Times New Roman" w:hAnsi="Times New Roman" w:eastAsia="宋体" w:cs="Times New Roman"/>
                <w:bCs/>
                <w:color w:val="000000"/>
                <w:kern w:val="2"/>
                <w:sz w:val="24"/>
                <w:szCs w:val="24"/>
                <w:lang w:val="en-US" w:eastAsia="zh-CN" w:bidi="ar-SA"/>
              </w:rPr>
              <w:t xml:space="preserve"> 2.在上下游市场，参与集中的经营者所占的市场份额均小于25%。</w:t>
            </w:r>
          </w:p>
        </w:tc>
      </w:tr>
      <w:tr w14:paraId="3292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noWrap w:val="0"/>
            <w:vAlign w:val="center"/>
          </w:tcPr>
          <w:p w14:paraId="222A9F30">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p>
        </w:tc>
        <w:tc>
          <w:tcPr>
            <w:tcW w:w="7700" w:type="dxa"/>
            <w:gridSpan w:val="2"/>
            <w:noWrap w:val="0"/>
            <w:vAlign w:val="center"/>
          </w:tcPr>
          <w:p w14:paraId="4AF3BF2F">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bCs/>
                <w:color w:val="000000"/>
                <w:kern w:val="2"/>
                <w:sz w:val="24"/>
                <w:szCs w:val="24"/>
                <w:lang w:val="en-US" w:eastAsia="zh-CN" w:bidi="ar-SA"/>
              </w:rPr>
              <w:sym w:font="Wingdings" w:char="00FE"/>
            </w:r>
            <w:r>
              <w:rPr>
                <w:rFonts w:hint="default" w:ascii="Times New Roman" w:hAnsi="Times New Roman" w:eastAsia="宋体" w:cs="Times New Roman"/>
                <w:bCs/>
                <w:color w:val="000000"/>
                <w:kern w:val="2"/>
                <w:sz w:val="24"/>
                <w:szCs w:val="24"/>
                <w:lang w:val="en-US" w:eastAsia="zh-CN" w:bidi="ar-SA"/>
              </w:rPr>
              <w:t xml:space="preserve"> 3.不在同一相关市场也不存在上下游关系的参与集中的经营者，在与交易有关的每个市场所占的市场份额均小于25%。</w:t>
            </w:r>
          </w:p>
        </w:tc>
      </w:tr>
      <w:tr w14:paraId="2553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noWrap w:val="0"/>
            <w:vAlign w:val="center"/>
          </w:tcPr>
          <w:p w14:paraId="163E9766">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p>
        </w:tc>
        <w:tc>
          <w:tcPr>
            <w:tcW w:w="7700" w:type="dxa"/>
            <w:gridSpan w:val="2"/>
            <w:noWrap w:val="0"/>
            <w:vAlign w:val="center"/>
          </w:tcPr>
          <w:p w14:paraId="73ED0C7A">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bCs/>
                <w:color w:val="000000"/>
                <w:kern w:val="2"/>
                <w:sz w:val="24"/>
                <w:szCs w:val="24"/>
                <w:lang w:val="en-US" w:eastAsia="zh-CN" w:bidi="ar-SA"/>
              </w:rPr>
              <w:sym w:font="Wingdings" w:char="00A8"/>
            </w:r>
            <w:r>
              <w:rPr>
                <w:rFonts w:hint="default" w:ascii="Times New Roman" w:hAnsi="Times New Roman" w:eastAsia="宋体" w:cs="Times New Roman"/>
                <w:bCs/>
                <w:color w:val="000000"/>
                <w:kern w:val="2"/>
                <w:sz w:val="24"/>
                <w:szCs w:val="24"/>
                <w:lang w:val="en-US" w:eastAsia="zh-CN" w:bidi="ar-SA"/>
              </w:rPr>
              <w:t xml:space="preserve"> 4.参与集中的经营者在中国境外设立合营企业，合营企业不在中国境内从事经济活动。</w:t>
            </w:r>
          </w:p>
        </w:tc>
      </w:tr>
      <w:tr w14:paraId="03D1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noWrap w:val="0"/>
            <w:vAlign w:val="center"/>
          </w:tcPr>
          <w:p w14:paraId="4132B4E5">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p>
        </w:tc>
        <w:tc>
          <w:tcPr>
            <w:tcW w:w="7700" w:type="dxa"/>
            <w:gridSpan w:val="2"/>
            <w:noWrap w:val="0"/>
            <w:vAlign w:val="center"/>
          </w:tcPr>
          <w:p w14:paraId="163E2F66">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bCs/>
                <w:color w:val="000000"/>
                <w:kern w:val="2"/>
                <w:sz w:val="24"/>
                <w:szCs w:val="24"/>
                <w:lang w:val="en-US" w:eastAsia="zh-CN" w:bidi="ar-SA"/>
              </w:rPr>
              <w:sym w:font="Wingdings" w:char="00A8"/>
            </w:r>
            <w:r>
              <w:rPr>
                <w:rFonts w:hint="default" w:ascii="Times New Roman" w:hAnsi="Times New Roman" w:eastAsia="宋体" w:cs="Times New Roman"/>
                <w:bCs/>
                <w:color w:val="000000"/>
                <w:kern w:val="2"/>
                <w:sz w:val="24"/>
                <w:szCs w:val="24"/>
                <w:lang w:val="en-US" w:eastAsia="zh-CN" w:bidi="ar-SA"/>
              </w:rPr>
              <w:t xml:space="preserve"> 5.参与集中的经营者收购境外企业股权或资产的，该境外企业不在中国境内从事经济活动。</w:t>
            </w:r>
          </w:p>
        </w:tc>
      </w:tr>
      <w:tr w14:paraId="5D3D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noWrap w:val="0"/>
            <w:vAlign w:val="center"/>
          </w:tcPr>
          <w:p w14:paraId="12A8AB3F">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p>
        </w:tc>
        <w:tc>
          <w:tcPr>
            <w:tcW w:w="7700" w:type="dxa"/>
            <w:gridSpan w:val="2"/>
            <w:noWrap w:val="0"/>
            <w:vAlign w:val="center"/>
          </w:tcPr>
          <w:p w14:paraId="28EAC068">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bCs/>
                <w:color w:val="000000"/>
                <w:kern w:val="2"/>
                <w:sz w:val="24"/>
                <w:szCs w:val="24"/>
                <w:lang w:val="en-US" w:eastAsia="zh-CN" w:bidi="ar-SA"/>
              </w:rPr>
              <w:sym w:font="Wingdings" w:char="00A8"/>
            </w:r>
            <w:r>
              <w:rPr>
                <w:rFonts w:hint="default" w:ascii="Times New Roman" w:hAnsi="Times New Roman" w:eastAsia="宋体" w:cs="Times New Roman"/>
                <w:bCs/>
                <w:color w:val="000000"/>
                <w:kern w:val="2"/>
                <w:sz w:val="24"/>
                <w:szCs w:val="24"/>
                <w:lang w:val="en-US" w:eastAsia="zh-CN" w:bidi="ar-SA"/>
              </w:rPr>
              <w:t xml:space="preserve"> 6.由两个以上的经营者共同控制的合营企业，通过集中被其中一个或一个以上经营者控制。</w:t>
            </w:r>
          </w:p>
        </w:tc>
      </w:tr>
      <w:tr w14:paraId="58BFD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noWrap w:val="0"/>
            <w:vAlign w:val="center"/>
          </w:tcPr>
          <w:p w14:paraId="7B1B650B">
            <w:pPr>
              <w:widowControl w:val="0"/>
              <w:adjustRightInd w:val="0"/>
              <w:snapToGrid w:val="0"/>
              <w:spacing w:after="0"/>
              <w:jc w:val="both"/>
              <w:rPr>
                <w:rFonts w:hint="default" w:ascii="Times New Roman" w:hAnsi="Times New Roman" w:eastAsia="宋体" w:cs="Times New Roman"/>
                <w:bCs/>
                <w:color w:val="000000"/>
                <w:kern w:val="2"/>
                <w:sz w:val="24"/>
                <w:szCs w:val="24"/>
                <w:lang w:val="en-US" w:eastAsia="zh-CN" w:bidi="ar-AE"/>
              </w:rPr>
            </w:pPr>
            <w:r>
              <w:rPr>
                <w:rFonts w:hint="default" w:ascii="Times New Roman" w:hAnsi="Times New Roman" w:eastAsia="宋体" w:cs="Times New Roman"/>
                <w:bCs/>
                <w:color w:val="000000"/>
                <w:kern w:val="2"/>
                <w:sz w:val="24"/>
                <w:szCs w:val="24"/>
                <w:lang w:val="en-US" w:eastAsia="zh-CN" w:bidi="ar-SA"/>
              </w:rPr>
              <w:t>备注</w:t>
            </w:r>
          </w:p>
        </w:tc>
        <w:tc>
          <w:tcPr>
            <w:tcW w:w="7700" w:type="dxa"/>
            <w:gridSpan w:val="2"/>
            <w:noWrap w:val="0"/>
            <w:vAlign w:val="center"/>
          </w:tcPr>
          <w:p w14:paraId="53BA4C6C">
            <w:pPr>
              <w:adjustRightInd w:val="0"/>
              <w:snapToGrid w:val="0"/>
              <w:spacing w:after="0"/>
              <w:jc w:val="both"/>
              <w:rPr>
                <w:rFonts w:hint="default" w:ascii="Times New Roman" w:hAnsi="Times New Roman" w:eastAsia="宋体" w:cs="Times New Roman"/>
                <w:b/>
                <w:color w:val="000000"/>
                <w:sz w:val="24"/>
                <w:szCs w:val="24"/>
                <w:lang w:val="en-GB" w:eastAsia="zh-CN" w:bidi="ar-AE"/>
              </w:rPr>
            </w:pPr>
            <w:r>
              <w:rPr>
                <w:rFonts w:hint="default" w:ascii="Times New Roman" w:hAnsi="Times New Roman" w:eastAsia="宋体" w:cs="Times New Roman"/>
                <w:b/>
                <w:color w:val="000000"/>
                <w:sz w:val="24"/>
                <w:szCs w:val="24"/>
                <w:lang w:val="en-US" w:eastAsia="zh-CN" w:bidi="ar-AE"/>
              </w:rPr>
              <w:t>混合</w:t>
            </w:r>
            <w:r>
              <w:rPr>
                <w:rFonts w:hint="default" w:ascii="Times New Roman" w:hAnsi="Times New Roman" w:eastAsia="宋体" w:cs="Times New Roman"/>
                <w:b/>
                <w:color w:val="000000"/>
                <w:sz w:val="24"/>
                <w:szCs w:val="24"/>
                <w:lang w:val="en-GB" w:eastAsia="zh-CN" w:bidi="ar-AE"/>
              </w:rPr>
              <w:t>集中：</w:t>
            </w:r>
          </w:p>
          <w:p w14:paraId="06B42CCD">
            <w:pPr>
              <w:adjustRightInd w:val="0"/>
              <w:snapToGrid w:val="0"/>
              <w:spacing w:after="0"/>
              <w:jc w:val="both"/>
              <w:rPr>
                <w:rFonts w:hint="default" w:ascii="Times New Roman" w:hAnsi="Times New Roman" w:eastAsia="宋体" w:cs="Times New Roman"/>
                <w:bCs/>
                <w:color w:val="000000"/>
                <w:sz w:val="24"/>
                <w:szCs w:val="24"/>
                <w:lang w:val="en-US" w:eastAsia="zh-CN" w:bidi="ar-AE"/>
              </w:rPr>
            </w:pPr>
            <w:r>
              <w:rPr>
                <w:rFonts w:hint="default" w:ascii="Times New Roman" w:hAnsi="Times New Roman" w:eastAsia="宋体" w:cs="Times New Roman"/>
                <w:bCs/>
                <w:color w:val="000000"/>
                <w:sz w:val="24"/>
                <w:szCs w:val="24"/>
                <w:lang w:val="en-US" w:eastAsia="zh-CN" w:bidi="ar-AE"/>
              </w:rPr>
              <w:t>2024年全球</w:t>
            </w:r>
            <w:r>
              <w:rPr>
                <w:rFonts w:hint="default" w:ascii="Times New Roman" w:hAnsi="Times New Roman" w:eastAsia="宋体" w:cs="Times New Roman"/>
                <w:color w:val="000000"/>
                <w:sz w:val="24"/>
              </w:rPr>
              <w:t>屏幕折叠铰链</w:t>
            </w:r>
            <w:r>
              <w:rPr>
                <w:rFonts w:hint="default" w:ascii="Times New Roman" w:hAnsi="Times New Roman" w:eastAsia="宋体" w:cs="Times New Roman"/>
                <w:bCs/>
                <w:color w:val="000000"/>
                <w:sz w:val="24"/>
                <w:szCs w:val="24"/>
                <w:lang w:val="en-US" w:eastAsia="zh-CN" w:bidi="ar-AE"/>
              </w:rPr>
              <w:t>市场：</w:t>
            </w:r>
          </w:p>
          <w:p w14:paraId="3DE230CB">
            <w:pPr>
              <w:snapToGrid w:val="0"/>
              <w:rPr>
                <w:rFonts w:hint="default" w:ascii="Times New Roman" w:hAnsi="Times New Roman" w:eastAsia="宋体" w:cs="Times New Roman"/>
                <w:bCs/>
                <w:color w:val="000000"/>
                <w:sz w:val="24"/>
                <w:szCs w:val="24"/>
                <w:lang w:val="en-GB" w:eastAsia="zh-CN" w:bidi="ar-AE"/>
              </w:rPr>
            </w:pPr>
            <w:r>
              <w:rPr>
                <w:rFonts w:hint="default" w:ascii="Times New Roman" w:hAnsi="Times New Roman" w:eastAsia="宋体" w:cs="Times New Roman"/>
                <w:bCs/>
                <w:color w:val="000000"/>
                <w:sz w:val="24"/>
                <w:szCs w:val="24"/>
                <w:lang w:val="en-GB" w:eastAsia="zh-CN" w:bidi="ar-AE"/>
              </w:rPr>
              <w:t>合营企业（</w:t>
            </w:r>
            <w:r>
              <w:rPr>
                <w:rFonts w:hint="default" w:ascii="Times New Roman" w:hAnsi="Times New Roman" w:eastAsia="宋体" w:cs="Times New Roman"/>
                <w:bCs/>
                <w:color w:val="000000"/>
                <w:sz w:val="24"/>
                <w:szCs w:val="24"/>
                <w:lang w:val="en-US" w:eastAsia="zh-CN" w:bidi="ar-AE"/>
              </w:rPr>
              <w:t>2027年</w:t>
            </w:r>
            <w:r>
              <w:rPr>
                <w:rFonts w:hint="default" w:ascii="Times New Roman" w:hAnsi="Times New Roman" w:eastAsia="宋体" w:cs="Times New Roman"/>
                <w:bCs/>
                <w:color w:val="000000"/>
                <w:sz w:val="24"/>
                <w:szCs w:val="24"/>
                <w:lang w:val="en-GB" w:eastAsia="zh-CN" w:bidi="ar-AE"/>
              </w:rPr>
              <w:t>预估）：5</w:t>
            </w:r>
            <w:r>
              <w:rPr>
                <w:rFonts w:hint="default" w:ascii="Times New Roman" w:hAnsi="Times New Roman" w:eastAsia="宋体" w:cs="Times New Roman"/>
                <w:bCs/>
                <w:color w:val="000000"/>
                <w:sz w:val="24"/>
                <w:szCs w:val="24"/>
                <w:lang w:val="en-US" w:eastAsia="zh-CN" w:bidi="ar-AE"/>
              </w:rPr>
              <w:t>-10</w:t>
            </w:r>
            <w:r>
              <w:rPr>
                <w:rFonts w:hint="default" w:ascii="Times New Roman" w:hAnsi="Times New Roman" w:eastAsia="宋体" w:cs="Times New Roman"/>
                <w:bCs/>
                <w:color w:val="000000"/>
                <w:sz w:val="24"/>
                <w:szCs w:val="24"/>
                <w:lang w:val="en-GB" w:eastAsia="zh-CN" w:bidi="ar-AE"/>
              </w:rPr>
              <w:t>%</w:t>
            </w:r>
          </w:p>
        </w:tc>
      </w:tr>
    </w:tbl>
    <w:p w14:paraId="392C26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417D4"/>
    <w:rsid w:val="16B94D87"/>
    <w:rsid w:val="6192491B"/>
    <w:rsid w:val="6E356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667</Words>
  <Characters>704</Characters>
  <Lines>0</Lines>
  <Paragraphs>0</Paragraphs>
  <TotalTime>0</TotalTime>
  <ScaleCrop>false</ScaleCrop>
  <LinksUpToDate>false</LinksUpToDate>
  <CharactersWithSpaces>710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2026-02-09T07:34:00Z</dcterms:created>
  <dc:creator>Zhangzc</dc:creator>
  <cp:lastModifiedBy>汗青</cp:lastModifiedBy>
  <dcterms:modified xsi:type="dcterms:W3CDTF">2026-02-11T07:32:50Z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eyJoZGlkIjoiNDQzMGY5ZWI0OWM3ZDY2ZDVhMWJmNzNkNjA0OTkyOWYiLCJ1c2VySWQiOiIzNzgxNDI0MDcifQ==</vt:lpwstr>
  </property>
  <property fmtid="{D5CDD505-2E9C-101B-9397-08002B2CF9AE}" pid="4" name="ICV">
    <vt:lpwstr>81F347183E6644FD9547163C2134D6E4_12</vt:lpwstr>
  </property>
</Properties>
</file>