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6A7D7">
      <w:pPr>
        <w:keepNext w:val="0"/>
        <w:keepLines w:val="0"/>
        <w:widowControl/>
        <w:suppressLineNumbers w:val="0"/>
        <w:spacing w:before="0" w:beforeAutospacing="0" w:after="240" w:afterAutospacing="0"/>
        <w:ind w:left="0" w:right="0"/>
        <w:jc w:val="center"/>
        <w:rPr>
          <w:rFonts w:hint="eastAsia" w:ascii="方正小标宋简体" w:hAnsi="方正小标宋简体" w:eastAsia="方正小标宋简体" w:cs="方正小标宋简体"/>
          <w:kern w:val="0"/>
          <w:sz w:val="44"/>
          <w:szCs w:val="44"/>
          <w:lang w:val="en-GB" w:eastAsia="zh-CN" w:bidi="ar"/>
        </w:rPr>
      </w:pPr>
      <w:r>
        <w:rPr>
          <w:rFonts w:hint="eastAsia" w:ascii="方正小标宋简体" w:hAnsi="方正小标宋简体" w:eastAsia="方正小标宋简体" w:cs="方正小标宋简体"/>
          <w:kern w:val="0"/>
          <w:sz w:val="44"/>
          <w:szCs w:val="44"/>
          <w:lang w:val="en-GB" w:eastAsia="zh-CN" w:bidi="ar"/>
        </w:rPr>
        <w:t>经营者集中简易案件公示表</w:t>
      </w:r>
    </w:p>
    <w:tbl>
      <w:tblPr>
        <w:tblStyle w:val="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1476"/>
        <w:gridCol w:w="6224"/>
      </w:tblGrid>
      <w:tr w14:paraId="345AC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940" w:type="dxa"/>
            <w:shd w:val="clear" w:color="auto" w:fill="D9D9D9"/>
            <w:vAlign w:val="center"/>
          </w:tcPr>
          <w:p w14:paraId="2CBE85DA">
            <w:pPr>
              <w:pStyle w:val="2"/>
              <w:widowControl/>
              <w:adjustRightInd w:val="0"/>
              <w:snapToGrid w:val="0"/>
              <w:spacing w:after="0"/>
              <w:jc w:val="center"/>
              <w:rPr>
                <w:rFonts w:hint="default" w:ascii="Times New Roman" w:hAnsi="Times New Roman" w:cs="Times New Roman"/>
                <w:bCs/>
                <w:color w:val="000000"/>
                <w:sz w:val="24"/>
              </w:rPr>
            </w:pPr>
            <w:r>
              <w:rPr>
                <w:rFonts w:hint="default" w:ascii="Times New Roman" w:hAnsi="Times New Roman" w:cs="Times New Roman"/>
                <w:bCs/>
                <w:color w:val="000000"/>
                <w:sz w:val="24"/>
              </w:rPr>
              <w:t>案件名称</w:t>
            </w:r>
          </w:p>
        </w:tc>
        <w:tc>
          <w:tcPr>
            <w:tcW w:w="7700" w:type="dxa"/>
            <w:gridSpan w:val="2"/>
            <w:vAlign w:val="center"/>
          </w:tcPr>
          <w:p w14:paraId="20CFF777">
            <w:pPr>
              <w:widowControl/>
              <w:adjustRightInd w:val="0"/>
              <w:snapToGrid w:val="0"/>
              <w:rPr>
                <w:rFonts w:hint="default" w:ascii="Times New Roman" w:hAnsi="Times New Roman" w:cs="Times New Roman"/>
                <w:bCs/>
                <w:color w:val="000000"/>
                <w:sz w:val="24"/>
              </w:rPr>
            </w:pPr>
            <w:r>
              <w:rPr>
                <w:rFonts w:hint="default" w:ascii="Times New Roman" w:hAnsi="Times New Roman" w:cs="Times New Roman"/>
                <w:sz w:val="24"/>
              </w:rPr>
              <w:t>广汽零部件有限公司与万力轮胎股份有限公司收购广东中创智腾技术服务有限公司股权案</w:t>
            </w:r>
          </w:p>
        </w:tc>
      </w:tr>
      <w:tr w14:paraId="64FC3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940" w:type="dxa"/>
            <w:shd w:val="clear" w:color="auto" w:fill="D9D9D9"/>
            <w:vAlign w:val="center"/>
          </w:tcPr>
          <w:p w14:paraId="1D840195">
            <w:pPr>
              <w:pStyle w:val="2"/>
              <w:widowControl/>
              <w:adjustRightInd w:val="0"/>
              <w:snapToGrid w:val="0"/>
              <w:spacing w:after="0"/>
              <w:jc w:val="center"/>
              <w:rPr>
                <w:rFonts w:hint="default" w:ascii="Times New Roman" w:hAnsi="Times New Roman" w:cs="Times New Roman"/>
                <w:bCs/>
                <w:color w:val="000000"/>
                <w:sz w:val="24"/>
              </w:rPr>
            </w:pPr>
            <w:r>
              <w:rPr>
                <w:rFonts w:hint="default" w:ascii="Times New Roman" w:hAnsi="Times New Roman" w:cs="Times New Roman"/>
                <w:bCs/>
                <w:color w:val="000000"/>
                <w:sz w:val="24"/>
              </w:rPr>
              <w:t>交易概况（限200字内）</w:t>
            </w:r>
          </w:p>
        </w:tc>
        <w:tc>
          <w:tcPr>
            <w:tcW w:w="7700" w:type="dxa"/>
            <w:gridSpan w:val="2"/>
            <w:vAlign w:val="center"/>
          </w:tcPr>
          <w:p w14:paraId="6F24E34E">
            <w:pPr>
              <w:widowControl/>
              <w:adjustRightInd w:val="0"/>
              <w:snapToGrid w:val="0"/>
              <w:rPr>
                <w:rFonts w:hint="default" w:ascii="Times New Roman" w:hAnsi="Times New Roman" w:cs="Times New Roman"/>
                <w:sz w:val="24"/>
              </w:rPr>
            </w:pPr>
            <w:r>
              <w:rPr>
                <w:rFonts w:hint="default" w:ascii="Times New Roman" w:hAnsi="Times New Roman" w:cs="Times New Roman"/>
                <w:sz w:val="24"/>
              </w:rPr>
              <w:t>广汽零部件有限公司（“广汽零部件”）、万力轮胎股份有限公司（“万力轮胎”）与赛宝工业技术集团有限公司（“赛宝集团”）签署《产权交易合同》，广汽零部件与万力轮胎分别收购赛宝集团持有的广东中创智腾技术服务有限公司（“中创智腾”）30%股权、21%股权。中创智腾主要从事汽车零部件检验检测技术服务。交易前，赛宝集团持有中创智腾100%的股权，单独控制中创智腾。交易后，广汽零部件、万力轮胎与赛宝集团分别持有中创智腾30%、21%及49%的股权，共同控制中创智腾。</w:t>
            </w:r>
          </w:p>
        </w:tc>
      </w:tr>
      <w:tr w14:paraId="642F4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940" w:type="dxa"/>
            <w:vMerge w:val="restart"/>
            <w:shd w:val="clear" w:color="auto" w:fill="D9D9D9"/>
            <w:vAlign w:val="center"/>
          </w:tcPr>
          <w:p w14:paraId="3CB9D7FB">
            <w:pPr>
              <w:pStyle w:val="2"/>
              <w:widowControl/>
              <w:adjustRightInd w:val="0"/>
              <w:snapToGrid w:val="0"/>
              <w:spacing w:after="0"/>
              <w:jc w:val="center"/>
              <w:rPr>
                <w:rFonts w:hint="default" w:ascii="Times New Roman" w:hAnsi="Times New Roman" w:cs="Times New Roman"/>
                <w:bCs/>
                <w:color w:val="000000"/>
                <w:sz w:val="24"/>
              </w:rPr>
            </w:pPr>
            <w:r>
              <w:rPr>
                <w:rFonts w:hint="default" w:ascii="Times New Roman" w:hAnsi="Times New Roman" w:cs="Times New Roman"/>
                <w:bCs/>
                <w:color w:val="000000"/>
                <w:sz w:val="24"/>
              </w:rPr>
              <w:t>参与集中的经营者简介（每个限100字内）</w:t>
            </w:r>
          </w:p>
        </w:tc>
        <w:tc>
          <w:tcPr>
            <w:tcW w:w="1476" w:type="dxa"/>
            <w:vAlign w:val="center"/>
          </w:tcPr>
          <w:p w14:paraId="2CEF9AC6">
            <w:pPr>
              <w:pStyle w:val="2"/>
              <w:widowControl/>
              <w:adjustRightInd w:val="0"/>
              <w:snapToGrid w:val="0"/>
              <w:spacing w:after="0"/>
              <w:rPr>
                <w:rFonts w:hint="eastAsia" w:ascii="Times New Roman" w:hAnsi="Times New Roman" w:eastAsia="宋体" w:cs="Times New Roman"/>
                <w:bCs/>
                <w:color w:val="000000"/>
                <w:sz w:val="24"/>
                <w:lang w:val="en-US" w:eastAsia="zh-CN"/>
              </w:rPr>
            </w:pPr>
            <w:r>
              <w:rPr>
                <w:rFonts w:hint="default" w:ascii="Times New Roman" w:hAnsi="Times New Roman" w:cs="Times New Roman"/>
                <w:bCs/>
                <w:color w:val="000000"/>
                <w:sz w:val="24"/>
                <w:lang w:val="en-US" w:eastAsia="zh-CN"/>
              </w:rPr>
              <w:t>1</w:t>
            </w:r>
            <w:r>
              <w:rPr>
                <w:rFonts w:hint="default" w:ascii="Times New Roman" w:hAnsi="Times New Roman" w:cs="Times New Roman"/>
                <w:sz w:val="24"/>
              </w:rPr>
              <w:t>.广汽零部件</w:t>
            </w:r>
          </w:p>
        </w:tc>
        <w:tc>
          <w:tcPr>
            <w:tcW w:w="6224" w:type="dxa"/>
            <w:vAlign w:val="center"/>
          </w:tcPr>
          <w:p w14:paraId="6463E8AF">
            <w:pPr>
              <w:pStyle w:val="2"/>
              <w:widowControl/>
              <w:adjustRightInd w:val="0"/>
              <w:snapToGrid w:val="0"/>
              <w:spacing w:after="0"/>
              <w:rPr>
                <w:rFonts w:hint="default" w:ascii="Times New Roman" w:hAnsi="Times New Roman" w:cs="Times New Roman"/>
                <w:sz w:val="24"/>
              </w:rPr>
            </w:pPr>
            <w:r>
              <w:rPr>
                <w:rFonts w:hint="default" w:ascii="Times New Roman" w:hAnsi="Times New Roman" w:cs="Times New Roman"/>
                <w:sz w:val="24"/>
              </w:rPr>
              <w:t>广汽零部件于2000年8月29日成立于广东省广州市，主要业务为投资、管理汽车零部件生产企业。</w:t>
            </w:r>
          </w:p>
          <w:p w14:paraId="6B3D1FBE">
            <w:pPr>
              <w:pStyle w:val="2"/>
              <w:widowControl/>
              <w:adjustRightInd w:val="0"/>
              <w:snapToGrid w:val="0"/>
              <w:spacing w:after="0"/>
              <w:rPr>
                <w:rFonts w:hint="default" w:ascii="Times New Roman" w:hAnsi="Times New Roman" w:cs="Times New Roman"/>
                <w:bCs/>
                <w:color w:val="000000"/>
                <w:sz w:val="24"/>
              </w:rPr>
            </w:pPr>
            <w:r>
              <w:rPr>
                <w:rFonts w:hint="default" w:ascii="Times New Roman" w:hAnsi="Times New Roman" w:cs="Times New Roman"/>
                <w:sz w:val="24"/>
              </w:rPr>
              <w:t>广汽零部件最终控制人为广州汽车工业集团有限公司，主要业务为汽车整车及零部件的设计与制造等。</w:t>
            </w:r>
          </w:p>
        </w:tc>
      </w:tr>
      <w:tr w14:paraId="617AA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940" w:type="dxa"/>
            <w:vMerge w:val="continue"/>
            <w:shd w:val="clear" w:color="auto" w:fill="D9D9D9"/>
            <w:vAlign w:val="center"/>
          </w:tcPr>
          <w:p w14:paraId="464BBBBB">
            <w:pPr>
              <w:pStyle w:val="2"/>
              <w:widowControl/>
              <w:adjustRightInd w:val="0"/>
              <w:snapToGrid w:val="0"/>
              <w:spacing w:after="0"/>
              <w:jc w:val="center"/>
              <w:rPr>
                <w:rFonts w:hint="default" w:ascii="Times New Roman" w:hAnsi="Times New Roman" w:cs="Times New Roman"/>
                <w:bCs/>
                <w:color w:val="000000"/>
                <w:sz w:val="24"/>
              </w:rPr>
            </w:pPr>
          </w:p>
        </w:tc>
        <w:tc>
          <w:tcPr>
            <w:tcW w:w="1476" w:type="dxa"/>
            <w:vAlign w:val="center"/>
          </w:tcPr>
          <w:p w14:paraId="24144ABF">
            <w:pPr>
              <w:pStyle w:val="2"/>
              <w:widowControl/>
              <w:adjustRightInd w:val="0"/>
              <w:snapToGrid w:val="0"/>
              <w:spacing w:after="0"/>
              <w:rPr>
                <w:rFonts w:hint="default" w:ascii="Times New Roman" w:hAnsi="Times New Roman" w:cs="Times New Roman"/>
                <w:bCs/>
                <w:color w:val="000000"/>
                <w:sz w:val="24"/>
                <w:lang w:val="en-US" w:eastAsia="zh-CN"/>
              </w:rPr>
            </w:pPr>
            <w:r>
              <w:rPr>
                <w:rFonts w:hint="default" w:ascii="Times New Roman" w:hAnsi="Times New Roman" w:cs="Times New Roman"/>
                <w:bCs/>
                <w:color w:val="000000"/>
                <w:sz w:val="24"/>
                <w:lang w:val="en-US" w:eastAsia="zh-CN"/>
              </w:rPr>
              <w:t>2.万力轮胎</w:t>
            </w:r>
          </w:p>
        </w:tc>
        <w:tc>
          <w:tcPr>
            <w:tcW w:w="6224" w:type="dxa"/>
            <w:vAlign w:val="center"/>
          </w:tcPr>
          <w:p w14:paraId="1D79CB63">
            <w:pPr>
              <w:pStyle w:val="2"/>
              <w:widowControl/>
              <w:adjustRightInd w:val="0"/>
              <w:snapToGrid w:val="0"/>
              <w:spacing w:after="0"/>
              <w:rPr>
                <w:rFonts w:hint="eastAsia"/>
                <w:bCs/>
                <w:color w:val="000000"/>
                <w:kern w:val="0"/>
                <w:sz w:val="24"/>
                <w:lang w:val="en-GB" w:bidi="ar-AE"/>
              </w:rPr>
            </w:pPr>
            <w:r>
              <w:rPr>
                <w:rFonts w:hint="eastAsia"/>
                <w:bCs/>
                <w:color w:val="000000"/>
                <w:kern w:val="0"/>
                <w:sz w:val="24"/>
                <w:lang w:val="en-GB" w:bidi="ar-AE"/>
              </w:rPr>
              <w:t>万力轮胎于2004年12月7日成立于广东省广州市，主要业务为轮胎研发、生产、销售和服务等。</w:t>
            </w:r>
          </w:p>
          <w:p w14:paraId="6B02DE01">
            <w:pPr>
              <w:pStyle w:val="2"/>
              <w:widowControl/>
              <w:adjustRightInd w:val="0"/>
              <w:snapToGrid w:val="0"/>
              <w:spacing w:after="0"/>
              <w:rPr>
                <w:rFonts w:hint="default" w:ascii="Times New Roman" w:hAnsi="Times New Roman" w:cs="Times New Roman"/>
                <w:sz w:val="24"/>
              </w:rPr>
            </w:pPr>
            <w:r>
              <w:rPr>
                <w:rFonts w:hint="eastAsia"/>
                <w:bCs/>
                <w:color w:val="000000"/>
                <w:kern w:val="0"/>
                <w:sz w:val="24"/>
                <w:lang w:val="en-GB" w:bidi="ar-AE"/>
              </w:rPr>
              <w:t>万力轮胎最终控制人为广州工业投资控股集团有限公司，主要业务为先进制造、产业金融、产业园区等。</w:t>
            </w:r>
          </w:p>
        </w:tc>
      </w:tr>
      <w:tr w14:paraId="0F384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940" w:type="dxa"/>
            <w:vMerge w:val="continue"/>
            <w:shd w:val="clear" w:color="auto" w:fill="D9D9D9"/>
            <w:vAlign w:val="center"/>
          </w:tcPr>
          <w:p w14:paraId="55F8FD67">
            <w:pPr>
              <w:pStyle w:val="2"/>
              <w:widowControl/>
              <w:adjustRightInd w:val="0"/>
              <w:snapToGrid w:val="0"/>
              <w:spacing w:after="0"/>
              <w:jc w:val="center"/>
              <w:rPr>
                <w:rFonts w:hint="default" w:ascii="Times New Roman" w:hAnsi="Times New Roman" w:cs="Times New Roman"/>
                <w:bCs/>
                <w:color w:val="000000"/>
                <w:sz w:val="24"/>
              </w:rPr>
            </w:pPr>
          </w:p>
        </w:tc>
        <w:tc>
          <w:tcPr>
            <w:tcW w:w="1476" w:type="dxa"/>
            <w:vAlign w:val="center"/>
          </w:tcPr>
          <w:p w14:paraId="28641AB7">
            <w:pPr>
              <w:pStyle w:val="2"/>
              <w:widowControl/>
              <w:adjustRightInd w:val="0"/>
              <w:snapToGrid w:val="0"/>
              <w:spacing w:after="0"/>
              <w:rPr>
                <w:rFonts w:hint="default" w:ascii="Times New Roman" w:hAnsi="Times New Roman" w:cs="Times New Roman"/>
                <w:bCs/>
                <w:color w:val="000000"/>
                <w:sz w:val="24"/>
                <w:lang w:val="en-US" w:eastAsia="zh-CN"/>
              </w:rPr>
            </w:pPr>
            <w:r>
              <w:rPr>
                <w:rFonts w:hint="eastAsia" w:cs="Times New Roman"/>
                <w:bCs/>
                <w:color w:val="000000"/>
                <w:sz w:val="24"/>
                <w:lang w:val="en-US" w:eastAsia="zh-CN"/>
              </w:rPr>
              <w:t>3.赛宝集团</w:t>
            </w:r>
          </w:p>
        </w:tc>
        <w:tc>
          <w:tcPr>
            <w:tcW w:w="6224" w:type="dxa"/>
            <w:vAlign w:val="center"/>
          </w:tcPr>
          <w:p w14:paraId="407E05DA">
            <w:pPr>
              <w:pStyle w:val="2"/>
              <w:widowControl/>
              <w:adjustRightInd w:val="0"/>
              <w:snapToGrid w:val="0"/>
              <w:spacing w:after="0"/>
              <w:rPr>
                <w:rFonts w:hint="eastAsia"/>
                <w:bCs/>
                <w:color w:val="000000"/>
                <w:kern w:val="0"/>
                <w:sz w:val="24"/>
                <w:lang w:val="en-GB" w:bidi="ar-AE"/>
              </w:rPr>
            </w:pPr>
            <w:r>
              <w:rPr>
                <w:rFonts w:hint="eastAsia"/>
                <w:bCs/>
                <w:color w:val="000000"/>
                <w:kern w:val="0"/>
                <w:sz w:val="24"/>
                <w:lang w:val="en-GB" w:bidi="ar-AE"/>
              </w:rPr>
              <w:t>赛宝集团于1993年10月6日成立于广东省广州市，主要业务为检验检测技术服务、设备销售、投资管理等。</w:t>
            </w:r>
          </w:p>
          <w:p w14:paraId="29BA69BB">
            <w:pPr>
              <w:pStyle w:val="2"/>
              <w:widowControl/>
              <w:adjustRightInd w:val="0"/>
              <w:snapToGrid w:val="0"/>
              <w:spacing w:after="0"/>
              <w:rPr>
                <w:rFonts w:hint="eastAsia"/>
                <w:bCs/>
                <w:color w:val="000000"/>
                <w:kern w:val="0"/>
                <w:sz w:val="24"/>
                <w:lang w:val="en-GB" w:bidi="ar-AE"/>
              </w:rPr>
            </w:pPr>
            <w:r>
              <w:rPr>
                <w:rFonts w:hint="eastAsia"/>
                <w:bCs/>
                <w:color w:val="000000"/>
                <w:kern w:val="0"/>
                <w:sz w:val="24"/>
                <w:lang w:val="en-GB" w:bidi="ar-AE"/>
              </w:rPr>
              <w:t>赛宝集团最终控制人为工业和信息化部电子第五研究所，主要业务为电子产品可靠性与环境适应性技术研究、设备研发、相关产品检测、认证等。</w:t>
            </w:r>
          </w:p>
        </w:tc>
      </w:tr>
      <w:tr w14:paraId="3992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940" w:type="dxa"/>
            <w:vMerge w:val="restart"/>
            <w:shd w:val="clear" w:color="auto" w:fill="D9D9D9"/>
            <w:vAlign w:val="center"/>
          </w:tcPr>
          <w:p w14:paraId="35E467FA">
            <w:pPr>
              <w:pStyle w:val="2"/>
              <w:widowControl/>
              <w:adjustRightInd w:val="0"/>
              <w:snapToGrid w:val="0"/>
              <w:spacing w:after="0"/>
              <w:jc w:val="center"/>
              <w:rPr>
                <w:rFonts w:hint="default" w:ascii="Times New Roman" w:hAnsi="Times New Roman" w:cs="Times New Roman"/>
                <w:bCs/>
                <w:color w:val="000000"/>
                <w:sz w:val="24"/>
              </w:rPr>
            </w:pPr>
            <w:r>
              <w:rPr>
                <w:rFonts w:hint="default" w:ascii="Times New Roman" w:hAnsi="Times New Roman" w:cs="Times New Roman"/>
                <w:bCs/>
                <w:color w:val="000000"/>
                <w:sz w:val="24"/>
              </w:rPr>
              <w:t>简易案件理由（可以单选，也可以多选）</w:t>
            </w:r>
          </w:p>
        </w:tc>
        <w:tc>
          <w:tcPr>
            <w:tcW w:w="7700" w:type="dxa"/>
            <w:gridSpan w:val="2"/>
            <w:vAlign w:val="center"/>
          </w:tcPr>
          <w:p w14:paraId="3F7CEC73">
            <w:pPr>
              <w:pStyle w:val="2"/>
              <w:widowControl/>
              <w:adjustRightInd w:val="0"/>
              <w:snapToGrid w:val="0"/>
              <w:spacing w:after="0"/>
              <w:rPr>
                <w:rFonts w:hint="default" w:ascii="Times New Roman" w:hAnsi="Times New Roman" w:cs="Times New Roman"/>
                <w:bCs/>
                <w:color w:val="000000"/>
                <w:sz w:val="24"/>
              </w:rPr>
            </w:pPr>
            <w:r>
              <w:rPr>
                <w:rFonts w:hint="default" w:ascii="Times New Roman" w:hAnsi="Times New Roman" w:cs="Times New Roman"/>
                <w:bCs/>
                <w:color w:val="000000"/>
                <w:sz w:val="24"/>
              </w:rPr>
              <w:sym w:font="Wingdings" w:char="00A8"/>
            </w:r>
            <w:r>
              <w:rPr>
                <w:rFonts w:hint="default" w:ascii="Times New Roman" w:hAnsi="Times New Roman" w:cs="Times New Roman"/>
                <w:bCs/>
                <w:color w:val="000000"/>
                <w:sz w:val="24"/>
              </w:rPr>
              <w:t xml:space="preserve"> 1、在同一相关市场，所有参与集中的经营者所占市场份额之和小于15%。</w:t>
            </w:r>
          </w:p>
        </w:tc>
      </w:tr>
      <w:tr w14:paraId="0F99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40" w:type="dxa"/>
            <w:vMerge w:val="continue"/>
            <w:shd w:val="clear" w:color="auto" w:fill="D9D9D9"/>
            <w:vAlign w:val="center"/>
          </w:tcPr>
          <w:p w14:paraId="39D58086">
            <w:pPr>
              <w:pStyle w:val="2"/>
              <w:widowControl/>
              <w:adjustRightInd w:val="0"/>
              <w:snapToGrid w:val="0"/>
              <w:spacing w:after="0"/>
              <w:jc w:val="center"/>
              <w:rPr>
                <w:rFonts w:hint="default" w:ascii="Times New Roman" w:hAnsi="Times New Roman" w:cs="Times New Roman"/>
                <w:bCs/>
                <w:color w:val="000000"/>
                <w:sz w:val="24"/>
              </w:rPr>
            </w:pPr>
          </w:p>
        </w:tc>
        <w:tc>
          <w:tcPr>
            <w:tcW w:w="7700" w:type="dxa"/>
            <w:gridSpan w:val="2"/>
            <w:vAlign w:val="center"/>
          </w:tcPr>
          <w:p w14:paraId="3478E736">
            <w:pPr>
              <w:pStyle w:val="2"/>
              <w:widowControl/>
              <w:adjustRightInd w:val="0"/>
              <w:snapToGrid w:val="0"/>
              <w:spacing w:after="0"/>
              <w:rPr>
                <w:rFonts w:hint="default" w:ascii="Times New Roman" w:hAnsi="Times New Roman" w:cs="Times New Roman"/>
                <w:bCs/>
                <w:color w:val="000000"/>
                <w:sz w:val="24"/>
              </w:rPr>
            </w:pPr>
            <w:r>
              <w:rPr>
                <w:rFonts w:hint="default" w:ascii="Times New Roman" w:hAnsi="Times New Roman" w:cs="Times New Roman"/>
                <w:bCs/>
                <w:color w:val="000000"/>
                <w:sz w:val="24"/>
              </w:rPr>
              <w:sym w:font="Wingdings" w:char="00FE"/>
            </w:r>
            <w:r>
              <w:rPr>
                <w:rFonts w:hint="default" w:ascii="Times New Roman" w:hAnsi="Times New Roman" w:cs="Times New Roman"/>
                <w:bCs/>
                <w:color w:val="000000"/>
                <w:sz w:val="24"/>
              </w:rPr>
              <w:t xml:space="preserve"> 2、存在上下游关系的参与集中的经营者，在上下游市场所占的市场份额均小于25%。</w:t>
            </w:r>
          </w:p>
        </w:tc>
      </w:tr>
      <w:tr w14:paraId="6C121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40" w:type="dxa"/>
            <w:vMerge w:val="continue"/>
            <w:shd w:val="clear" w:color="auto" w:fill="D9D9D9"/>
            <w:vAlign w:val="center"/>
          </w:tcPr>
          <w:p w14:paraId="62F8F489">
            <w:pPr>
              <w:pStyle w:val="2"/>
              <w:widowControl/>
              <w:adjustRightInd w:val="0"/>
              <w:snapToGrid w:val="0"/>
              <w:spacing w:after="0"/>
              <w:jc w:val="center"/>
              <w:rPr>
                <w:rFonts w:hint="default" w:ascii="Times New Roman" w:hAnsi="Times New Roman" w:cs="Times New Roman"/>
                <w:bCs/>
                <w:color w:val="000000"/>
                <w:sz w:val="24"/>
              </w:rPr>
            </w:pPr>
          </w:p>
        </w:tc>
        <w:tc>
          <w:tcPr>
            <w:tcW w:w="7700" w:type="dxa"/>
            <w:gridSpan w:val="2"/>
            <w:vAlign w:val="center"/>
          </w:tcPr>
          <w:p w14:paraId="12B1CD8E">
            <w:pPr>
              <w:pStyle w:val="2"/>
              <w:widowControl/>
              <w:adjustRightInd w:val="0"/>
              <w:snapToGrid w:val="0"/>
              <w:spacing w:after="0"/>
              <w:rPr>
                <w:rFonts w:hint="default" w:ascii="Times New Roman" w:hAnsi="Times New Roman" w:cs="Times New Roman"/>
                <w:bCs/>
                <w:color w:val="000000"/>
                <w:sz w:val="24"/>
              </w:rPr>
            </w:pPr>
            <w:r>
              <w:rPr>
                <w:rFonts w:hint="default" w:ascii="Times New Roman" w:hAnsi="Times New Roman" w:cs="Times New Roman"/>
                <w:bCs/>
                <w:color w:val="000000"/>
                <w:sz w:val="24"/>
              </w:rPr>
              <w:sym w:font="Wingdings" w:char="00A8"/>
            </w:r>
            <w:r>
              <w:rPr>
                <w:rFonts w:hint="default" w:ascii="Times New Roman" w:hAnsi="Times New Roman" w:cs="Times New Roman"/>
                <w:bCs/>
                <w:color w:val="000000"/>
                <w:sz w:val="24"/>
              </w:rPr>
              <w:t xml:space="preserve"> 3、不在同一相关市场、也不存在上下游关系的参与集中的经营者，在与交易有关的每个市场所占的份额均小于25%。</w:t>
            </w:r>
          </w:p>
        </w:tc>
      </w:tr>
      <w:tr w14:paraId="63E1D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940" w:type="dxa"/>
            <w:vMerge w:val="continue"/>
            <w:shd w:val="clear" w:color="auto" w:fill="D9D9D9"/>
            <w:vAlign w:val="center"/>
          </w:tcPr>
          <w:p w14:paraId="6D2692C5">
            <w:pPr>
              <w:pStyle w:val="2"/>
              <w:widowControl/>
              <w:adjustRightInd w:val="0"/>
              <w:snapToGrid w:val="0"/>
              <w:spacing w:after="0"/>
              <w:jc w:val="center"/>
              <w:rPr>
                <w:rFonts w:hint="default" w:ascii="Times New Roman" w:hAnsi="Times New Roman" w:cs="Times New Roman"/>
                <w:bCs/>
                <w:color w:val="000000"/>
                <w:sz w:val="24"/>
              </w:rPr>
            </w:pPr>
          </w:p>
        </w:tc>
        <w:tc>
          <w:tcPr>
            <w:tcW w:w="7700" w:type="dxa"/>
            <w:gridSpan w:val="2"/>
            <w:vAlign w:val="center"/>
          </w:tcPr>
          <w:p w14:paraId="49076ECE">
            <w:pPr>
              <w:pStyle w:val="2"/>
              <w:widowControl/>
              <w:adjustRightInd w:val="0"/>
              <w:snapToGrid w:val="0"/>
              <w:spacing w:after="0"/>
              <w:rPr>
                <w:rFonts w:hint="default" w:ascii="Times New Roman" w:hAnsi="Times New Roman" w:cs="Times New Roman"/>
                <w:bCs/>
                <w:color w:val="000000"/>
                <w:sz w:val="24"/>
              </w:rPr>
            </w:pPr>
            <w:r>
              <w:rPr>
                <w:rFonts w:hint="default" w:ascii="Times New Roman" w:hAnsi="Times New Roman" w:cs="Times New Roman"/>
                <w:bCs/>
                <w:color w:val="000000"/>
                <w:sz w:val="24"/>
              </w:rPr>
              <w:sym w:font="Wingdings" w:char="00A8"/>
            </w:r>
            <w:r>
              <w:rPr>
                <w:rFonts w:hint="default" w:ascii="Times New Roman" w:hAnsi="Times New Roman" w:cs="Times New Roman"/>
                <w:bCs/>
                <w:color w:val="000000"/>
                <w:sz w:val="24"/>
              </w:rPr>
              <w:t xml:space="preserve"> 4、参与集中的经营者在中国境外设立合营企业，合营企业不在中国境内从事经济活动。</w:t>
            </w:r>
          </w:p>
        </w:tc>
      </w:tr>
      <w:tr w14:paraId="5C83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940" w:type="dxa"/>
            <w:vMerge w:val="continue"/>
            <w:shd w:val="clear" w:color="auto" w:fill="D9D9D9"/>
            <w:vAlign w:val="center"/>
          </w:tcPr>
          <w:p w14:paraId="3551F46D">
            <w:pPr>
              <w:pStyle w:val="2"/>
              <w:widowControl/>
              <w:adjustRightInd w:val="0"/>
              <w:snapToGrid w:val="0"/>
              <w:spacing w:after="0"/>
              <w:jc w:val="center"/>
              <w:rPr>
                <w:rFonts w:hint="default" w:ascii="Times New Roman" w:hAnsi="Times New Roman" w:cs="Times New Roman"/>
                <w:bCs/>
                <w:color w:val="000000"/>
                <w:sz w:val="24"/>
              </w:rPr>
            </w:pPr>
          </w:p>
        </w:tc>
        <w:tc>
          <w:tcPr>
            <w:tcW w:w="7700" w:type="dxa"/>
            <w:gridSpan w:val="2"/>
            <w:vAlign w:val="center"/>
          </w:tcPr>
          <w:p w14:paraId="3798C7AF">
            <w:pPr>
              <w:pStyle w:val="2"/>
              <w:widowControl/>
              <w:adjustRightInd w:val="0"/>
              <w:snapToGrid w:val="0"/>
              <w:spacing w:after="0"/>
              <w:rPr>
                <w:rFonts w:hint="default" w:ascii="Times New Roman" w:hAnsi="Times New Roman" w:cs="Times New Roman"/>
                <w:bCs/>
                <w:color w:val="000000"/>
                <w:sz w:val="24"/>
              </w:rPr>
            </w:pPr>
            <w:r>
              <w:rPr>
                <w:rFonts w:hint="default" w:ascii="Times New Roman" w:hAnsi="Times New Roman" w:cs="Times New Roman"/>
                <w:bCs/>
                <w:color w:val="000000"/>
                <w:sz w:val="24"/>
              </w:rPr>
              <w:sym w:font="Wingdings" w:char="00A8"/>
            </w:r>
            <w:r>
              <w:rPr>
                <w:rFonts w:hint="default" w:ascii="Times New Roman" w:hAnsi="Times New Roman" w:cs="Times New Roman"/>
                <w:bCs/>
                <w:color w:val="000000"/>
                <w:sz w:val="24"/>
              </w:rPr>
              <w:t xml:space="preserve"> 5、参与集中的经营者收购境外企业股权或资产的，该境外企业不在中国境内从事经济活动。</w:t>
            </w:r>
          </w:p>
        </w:tc>
      </w:tr>
      <w:tr w14:paraId="1C3BB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940" w:type="dxa"/>
            <w:vMerge w:val="continue"/>
            <w:shd w:val="clear" w:color="auto" w:fill="D9D9D9"/>
            <w:vAlign w:val="center"/>
          </w:tcPr>
          <w:p w14:paraId="5C2840F6">
            <w:pPr>
              <w:pStyle w:val="2"/>
              <w:widowControl/>
              <w:adjustRightInd w:val="0"/>
              <w:snapToGrid w:val="0"/>
              <w:spacing w:after="0"/>
              <w:jc w:val="center"/>
              <w:rPr>
                <w:rFonts w:hint="default" w:ascii="Times New Roman" w:hAnsi="Times New Roman" w:cs="Times New Roman"/>
                <w:bCs/>
                <w:color w:val="000000"/>
                <w:sz w:val="24"/>
              </w:rPr>
            </w:pPr>
          </w:p>
        </w:tc>
        <w:tc>
          <w:tcPr>
            <w:tcW w:w="7700" w:type="dxa"/>
            <w:gridSpan w:val="2"/>
            <w:vAlign w:val="center"/>
          </w:tcPr>
          <w:p w14:paraId="5C874052">
            <w:pPr>
              <w:pStyle w:val="2"/>
              <w:widowControl/>
              <w:adjustRightInd w:val="0"/>
              <w:snapToGrid w:val="0"/>
              <w:spacing w:after="0"/>
              <w:rPr>
                <w:rFonts w:hint="default" w:ascii="Times New Roman" w:hAnsi="Times New Roman" w:cs="Times New Roman"/>
                <w:bCs/>
                <w:color w:val="000000"/>
                <w:sz w:val="24"/>
              </w:rPr>
            </w:pPr>
            <w:r>
              <w:rPr>
                <w:rFonts w:hint="default" w:ascii="Times New Roman" w:hAnsi="Times New Roman" w:cs="Times New Roman"/>
                <w:bCs/>
                <w:color w:val="000000"/>
                <w:sz w:val="24"/>
              </w:rPr>
              <w:sym w:font="Wingdings" w:char="00A8"/>
            </w:r>
            <w:r>
              <w:rPr>
                <w:rFonts w:hint="default" w:ascii="Times New Roman" w:hAnsi="Times New Roman" w:cs="Times New Roman"/>
                <w:bCs/>
                <w:color w:val="000000"/>
                <w:sz w:val="24"/>
              </w:rPr>
              <w:t xml:space="preserve"> 6、由两个以上的经营者共同控制的合营企业，通过集中被其中一个或一个以上经营者控制。</w:t>
            </w:r>
          </w:p>
        </w:tc>
      </w:tr>
      <w:tr w14:paraId="0893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40" w:type="dxa"/>
            <w:shd w:val="clear" w:color="auto" w:fill="D9D9D9"/>
            <w:vAlign w:val="center"/>
          </w:tcPr>
          <w:p w14:paraId="363DB027">
            <w:pPr>
              <w:pStyle w:val="2"/>
              <w:widowControl/>
              <w:adjustRightInd w:val="0"/>
              <w:snapToGrid w:val="0"/>
              <w:spacing w:after="0"/>
              <w:jc w:val="center"/>
              <w:rPr>
                <w:rFonts w:hint="default" w:ascii="Times New Roman" w:hAnsi="Times New Roman" w:cs="Times New Roman"/>
                <w:bCs/>
                <w:color w:val="000000"/>
                <w:sz w:val="24"/>
              </w:rPr>
            </w:pPr>
            <w:r>
              <w:rPr>
                <w:rFonts w:hint="default" w:ascii="Times New Roman" w:hAnsi="Times New Roman" w:cs="Times New Roman"/>
                <w:bCs/>
                <w:color w:val="000000"/>
                <w:sz w:val="24"/>
              </w:rPr>
              <w:t>备注</w:t>
            </w:r>
          </w:p>
        </w:tc>
        <w:tc>
          <w:tcPr>
            <w:tcW w:w="7700" w:type="dxa"/>
            <w:gridSpan w:val="2"/>
            <w:vAlign w:val="center"/>
          </w:tcPr>
          <w:p w14:paraId="45F27C05">
            <w:pPr>
              <w:pStyle w:val="2"/>
              <w:adjustRightInd w:val="0"/>
              <w:snapToGrid w:val="0"/>
              <w:spacing w:after="0"/>
              <w:rPr>
                <w:rFonts w:cs="Times New Roman"/>
                <w:b/>
                <w:color w:val="000000"/>
                <w:sz w:val="24"/>
                <w:szCs w:val="24"/>
                <w:lang w:eastAsia="zh-CN"/>
              </w:rPr>
            </w:pPr>
            <w:r>
              <w:rPr>
                <w:rFonts w:hint="eastAsia" w:cs="Times New Roman"/>
                <w:b/>
                <w:color w:val="000000"/>
                <w:sz w:val="24"/>
                <w:szCs w:val="24"/>
                <w:lang w:eastAsia="zh-CN"/>
              </w:rPr>
              <w:t>纵向关联</w:t>
            </w:r>
            <w:r>
              <w:rPr>
                <w:rFonts w:cs="Times New Roman"/>
                <w:b/>
                <w:color w:val="000000"/>
                <w:sz w:val="24"/>
                <w:szCs w:val="24"/>
                <w:lang w:eastAsia="zh-CN"/>
              </w:rPr>
              <w:t>：</w:t>
            </w:r>
          </w:p>
          <w:tbl>
            <w:tblPr>
              <w:tblStyle w:val="4"/>
              <w:tblW w:w="73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1"/>
              <w:gridCol w:w="1863"/>
              <w:gridCol w:w="2730"/>
            </w:tblGrid>
            <w:tr w14:paraId="799FF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771" w:type="dxa"/>
                  <w:noWrap w:val="0"/>
                  <w:vAlign w:val="center"/>
                </w:tcPr>
                <w:p w14:paraId="7E786115">
                  <w:pPr>
                    <w:adjustRightInd w:val="0"/>
                    <w:snapToGrid w:val="0"/>
                    <w:rPr>
                      <w:b/>
                      <w:color w:val="000000"/>
                      <w:sz w:val="24"/>
                    </w:rPr>
                  </w:pPr>
                  <w:r>
                    <w:rPr>
                      <w:b/>
                      <w:color w:val="000000"/>
                      <w:sz w:val="24"/>
                    </w:rPr>
                    <w:t>相关商品市场</w:t>
                  </w:r>
                </w:p>
              </w:tc>
              <w:tc>
                <w:tcPr>
                  <w:tcW w:w="1863" w:type="dxa"/>
                  <w:noWrap w:val="0"/>
                  <w:vAlign w:val="center"/>
                </w:tcPr>
                <w:p w14:paraId="640AF0F8">
                  <w:pPr>
                    <w:adjustRightInd w:val="0"/>
                    <w:snapToGrid w:val="0"/>
                    <w:rPr>
                      <w:b/>
                      <w:color w:val="000000"/>
                      <w:sz w:val="24"/>
                    </w:rPr>
                  </w:pPr>
                  <w:r>
                    <w:rPr>
                      <w:b/>
                      <w:color w:val="000000"/>
                      <w:sz w:val="24"/>
                    </w:rPr>
                    <w:t>相关地域市场</w:t>
                  </w:r>
                </w:p>
              </w:tc>
              <w:tc>
                <w:tcPr>
                  <w:tcW w:w="2730" w:type="dxa"/>
                  <w:noWrap w:val="0"/>
                  <w:vAlign w:val="center"/>
                </w:tcPr>
                <w:p w14:paraId="2186ACA0">
                  <w:pPr>
                    <w:adjustRightInd w:val="0"/>
                    <w:snapToGrid w:val="0"/>
                    <w:rPr>
                      <w:b/>
                      <w:color w:val="000000"/>
                      <w:sz w:val="24"/>
                    </w:rPr>
                  </w:pPr>
                  <w:r>
                    <w:rPr>
                      <w:b/>
                      <w:color w:val="000000"/>
                      <w:sz w:val="24"/>
                    </w:rPr>
                    <w:t>2024年市场份额</w:t>
                  </w:r>
                </w:p>
              </w:tc>
            </w:tr>
            <w:tr w14:paraId="175A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2771" w:type="dxa"/>
                  <w:noWrap w:val="0"/>
                  <w:vAlign w:val="center"/>
                </w:tcPr>
                <w:p w14:paraId="25BECB56">
                  <w:pPr>
                    <w:adjustRightInd w:val="0"/>
                    <w:snapToGrid w:val="0"/>
                    <w:rPr>
                      <w:rFonts w:hint="eastAsia"/>
                      <w:color w:val="000000"/>
                      <w:kern w:val="0"/>
                      <w:sz w:val="24"/>
                    </w:rPr>
                  </w:pPr>
                  <w:r>
                    <w:rPr>
                      <w:rFonts w:hint="eastAsia"/>
                      <w:color w:val="000000"/>
                      <w:kern w:val="0"/>
                      <w:sz w:val="24"/>
                    </w:rPr>
                    <w:t>上游：汽车零部件检测服务市场</w:t>
                  </w:r>
                </w:p>
                <w:p w14:paraId="380FE41B">
                  <w:pPr>
                    <w:adjustRightInd w:val="0"/>
                    <w:snapToGrid w:val="0"/>
                    <w:rPr>
                      <w:bCs/>
                      <w:color w:val="000000"/>
                      <w:sz w:val="24"/>
                    </w:rPr>
                  </w:pPr>
                  <w:r>
                    <w:rPr>
                      <w:rFonts w:hint="eastAsia"/>
                      <w:color w:val="000000"/>
                      <w:kern w:val="0"/>
                      <w:sz w:val="24"/>
                    </w:rPr>
                    <w:t>下游：乘用车市场</w:t>
                  </w:r>
                </w:p>
              </w:tc>
              <w:tc>
                <w:tcPr>
                  <w:tcW w:w="1863" w:type="dxa"/>
                  <w:noWrap w:val="0"/>
                  <w:vAlign w:val="center"/>
                </w:tcPr>
                <w:p w14:paraId="3970F6E7">
                  <w:pPr>
                    <w:adjustRightInd w:val="0"/>
                    <w:snapToGrid w:val="0"/>
                    <w:rPr>
                      <w:rFonts w:hint="eastAsia"/>
                      <w:color w:val="000000"/>
                      <w:kern w:val="0"/>
                      <w:sz w:val="24"/>
                    </w:rPr>
                  </w:pPr>
                  <w:r>
                    <w:rPr>
                      <w:rFonts w:hint="eastAsia"/>
                      <w:color w:val="000000"/>
                      <w:kern w:val="0"/>
                      <w:sz w:val="24"/>
                    </w:rPr>
                    <w:t>上游：中国境内</w:t>
                  </w:r>
                </w:p>
                <w:p w14:paraId="59448913">
                  <w:pPr>
                    <w:adjustRightInd w:val="0"/>
                    <w:snapToGrid w:val="0"/>
                    <w:rPr>
                      <w:bCs/>
                      <w:color w:val="000000"/>
                      <w:sz w:val="24"/>
                    </w:rPr>
                  </w:pPr>
                  <w:r>
                    <w:rPr>
                      <w:rFonts w:hint="eastAsia"/>
                      <w:color w:val="000000"/>
                      <w:kern w:val="0"/>
                      <w:sz w:val="24"/>
                    </w:rPr>
                    <w:t>下游：中国境内</w:t>
                  </w:r>
                </w:p>
              </w:tc>
              <w:tc>
                <w:tcPr>
                  <w:tcW w:w="2730" w:type="dxa"/>
                  <w:noWrap w:val="0"/>
                  <w:vAlign w:val="center"/>
                </w:tcPr>
                <w:p w14:paraId="15BD56E1">
                  <w:pPr>
                    <w:adjustRightInd w:val="0"/>
                    <w:snapToGrid w:val="0"/>
                    <w:rPr>
                      <w:rFonts w:hint="eastAsia"/>
                      <w:color w:val="000000"/>
                      <w:kern w:val="0"/>
                      <w:sz w:val="24"/>
                    </w:rPr>
                  </w:pPr>
                  <w:r>
                    <w:rPr>
                      <w:rFonts w:hint="eastAsia"/>
                      <w:color w:val="000000"/>
                      <w:kern w:val="0"/>
                      <w:sz w:val="24"/>
                    </w:rPr>
                    <w:t>上游：中国境内汽车零部件检测服务市场</w:t>
                  </w:r>
                </w:p>
                <w:p w14:paraId="6772BB6A">
                  <w:pPr>
                    <w:adjustRightInd w:val="0"/>
                    <w:snapToGrid w:val="0"/>
                    <w:rPr>
                      <w:rFonts w:hint="eastAsia"/>
                      <w:color w:val="000000"/>
                      <w:kern w:val="0"/>
                      <w:sz w:val="24"/>
                    </w:rPr>
                  </w:pPr>
                  <w:r>
                    <w:rPr>
                      <w:rFonts w:hint="eastAsia"/>
                      <w:color w:val="000000"/>
                      <w:kern w:val="0"/>
                      <w:sz w:val="24"/>
                    </w:rPr>
                    <w:t>赛宝集团：0-5%</w:t>
                  </w:r>
                </w:p>
                <w:p w14:paraId="41A7660D">
                  <w:pPr>
                    <w:adjustRightInd w:val="0"/>
                    <w:snapToGrid w:val="0"/>
                    <w:rPr>
                      <w:rFonts w:hint="eastAsia"/>
                      <w:color w:val="000000"/>
                      <w:kern w:val="0"/>
                      <w:sz w:val="24"/>
                    </w:rPr>
                  </w:pPr>
                  <w:r>
                    <w:rPr>
                      <w:rFonts w:hint="eastAsia"/>
                      <w:color w:val="000000"/>
                      <w:kern w:val="0"/>
                      <w:sz w:val="24"/>
                    </w:rPr>
                    <w:t>下游：中国境内乘用车市场</w:t>
                  </w:r>
                </w:p>
                <w:p w14:paraId="214279BA">
                  <w:pPr>
                    <w:adjustRightInd w:val="0"/>
                    <w:snapToGrid w:val="0"/>
                    <w:rPr>
                      <w:bCs/>
                      <w:color w:val="000000"/>
                      <w:sz w:val="24"/>
                    </w:rPr>
                  </w:pPr>
                  <w:r>
                    <w:rPr>
                      <w:rFonts w:hint="eastAsia"/>
                      <w:color w:val="000000"/>
                      <w:kern w:val="0"/>
                      <w:sz w:val="24"/>
                    </w:rPr>
                    <w:t>广汽零部件：5-10%</w:t>
                  </w:r>
                </w:p>
              </w:tc>
            </w:tr>
            <w:tr w14:paraId="4229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2771" w:type="dxa"/>
                  <w:noWrap w:val="0"/>
                  <w:vAlign w:val="center"/>
                </w:tcPr>
                <w:p w14:paraId="4B129BF6">
                  <w:pPr>
                    <w:adjustRightInd w:val="0"/>
                    <w:snapToGrid w:val="0"/>
                    <w:rPr>
                      <w:rFonts w:hint="eastAsia"/>
                      <w:color w:val="000000"/>
                      <w:kern w:val="0"/>
                      <w:sz w:val="24"/>
                    </w:rPr>
                  </w:pPr>
                  <w:r>
                    <w:rPr>
                      <w:rFonts w:hint="eastAsia"/>
                      <w:color w:val="000000"/>
                      <w:kern w:val="0"/>
                      <w:sz w:val="24"/>
                    </w:rPr>
                    <w:t>上游：汽车零部件检测服务市场</w:t>
                  </w:r>
                </w:p>
                <w:p w14:paraId="6EAD0B47">
                  <w:pPr>
                    <w:adjustRightInd w:val="0"/>
                    <w:snapToGrid w:val="0"/>
                    <w:rPr>
                      <w:color w:val="000000"/>
                      <w:kern w:val="0"/>
                      <w:sz w:val="24"/>
                    </w:rPr>
                  </w:pPr>
                  <w:r>
                    <w:rPr>
                      <w:rFonts w:hint="eastAsia"/>
                      <w:color w:val="000000"/>
                      <w:kern w:val="0"/>
                      <w:sz w:val="24"/>
                    </w:rPr>
                    <w:t>下游：半钢子午线</w:t>
                  </w:r>
                  <w:r>
                    <w:rPr>
                      <w:rFonts w:hint="eastAsia"/>
                      <w:color w:val="000000"/>
                      <w:kern w:val="0"/>
                      <w:sz w:val="24"/>
                      <w:lang w:eastAsia="zh-CN"/>
                    </w:rPr>
                    <w:t>轮胎市场</w:t>
                  </w:r>
                </w:p>
              </w:tc>
              <w:tc>
                <w:tcPr>
                  <w:tcW w:w="1863" w:type="dxa"/>
                  <w:noWrap w:val="0"/>
                  <w:vAlign w:val="center"/>
                </w:tcPr>
                <w:p w14:paraId="106CED19">
                  <w:pPr>
                    <w:adjustRightInd w:val="0"/>
                    <w:snapToGrid w:val="0"/>
                    <w:rPr>
                      <w:rFonts w:hint="eastAsia"/>
                      <w:color w:val="000000"/>
                      <w:kern w:val="0"/>
                      <w:sz w:val="24"/>
                    </w:rPr>
                  </w:pPr>
                  <w:r>
                    <w:rPr>
                      <w:rFonts w:hint="eastAsia"/>
                      <w:color w:val="000000"/>
                      <w:kern w:val="0"/>
                      <w:sz w:val="24"/>
                    </w:rPr>
                    <w:t>上游：中国境内</w:t>
                  </w:r>
                </w:p>
                <w:p w14:paraId="0A6D96CC">
                  <w:pPr>
                    <w:adjustRightInd w:val="0"/>
                    <w:snapToGrid w:val="0"/>
                    <w:rPr>
                      <w:color w:val="000000"/>
                      <w:kern w:val="0"/>
                      <w:sz w:val="24"/>
                    </w:rPr>
                  </w:pPr>
                  <w:r>
                    <w:rPr>
                      <w:rFonts w:hint="eastAsia"/>
                      <w:color w:val="000000"/>
                      <w:kern w:val="0"/>
                      <w:sz w:val="24"/>
                    </w:rPr>
                    <w:t>下游：中国境内</w:t>
                  </w:r>
                </w:p>
              </w:tc>
              <w:tc>
                <w:tcPr>
                  <w:tcW w:w="2730" w:type="dxa"/>
                  <w:noWrap w:val="0"/>
                  <w:vAlign w:val="center"/>
                </w:tcPr>
                <w:p w14:paraId="2FAB31BE">
                  <w:pPr>
                    <w:adjustRightInd w:val="0"/>
                    <w:snapToGrid w:val="0"/>
                    <w:rPr>
                      <w:rFonts w:hint="eastAsia"/>
                      <w:color w:val="000000"/>
                      <w:kern w:val="0"/>
                      <w:sz w:val="24"/>
                    </w:rPr>
                  </w:pPr>
                  <w:r>
                    <w:rPr>
                      <w:rFonts w:hint="eastAsia"/>
                      <w:color w:val="000000"/>
                      <w:kern w:val="0"/>
                      <w:sz w:val="24"/>
                    </w:rPr>
                    <w:t>上游：中国境内汽车零部件检测服务市场</w:t>
                  </w:r>
                </w:p>
                <w:p w14:paraId="39A4DD31">
                  <w:pPr>
                    <w:adjustRightInd w:val="0"/>
                    <w:snapToGrid w:val="0"/>
                    <w:rPr>
                      <w:rFonts w:hint="eastAsia"/>
                      <w:color w:val="000000"/>
                      <w:kern w:val="0"/>
                      <w:sz w:val="24"/>
                    </w:rPr>
                  </w:pPr>
                  <w:r>
                    <w:rPr>
                      <w:rFonts w:hint="eastAsia"/>
                      <w:color w:val="000000"/>
                      <w:kern w:val="0"/>
                      <w:sz w:val="24"/>
                    </w:rPr>
                    <w:t>赛宝集团：0-5%</w:t>
                  </w:r>
                </w:p>
                <w:p w14:paraId="4F8AA777">
                  <w:pPr>
                    <w:adjustRightInd w:val="0"/>
                    <w:snapToGrid w:val="0"/>
                    <w:rPr>
                      <w:rFonts w:hint="eastAsia"/>
                      <w:color w:val="000000"/>
                      <w:kern w:val="0"/>
                      <w:sz w:val="24"/>
                    </w:rPr>
                  </w:pPr>
                  <w:r>
                    <w:rPr>
                      <w:rFonts w:hint="eastAsia"/>
                      <w:color w:val="000000"/>
                      <w:kern w:val="0"/>
                      <w:sz w:val="24"/>
                    </w:rPr>
                    <w:t>下游：中国境内半钢子午线轮胎市场</w:t>
                  </w:r>
                </w:p>
                <w:p w14:paraId="7867A17A">
                  <w:pPr>
                    <w:adjustRightInd w:val="0"/>
                    <w:snapToGrid w:val="0"/>
                    <w:rPr>
                      <w:bCs/>
                      <w:color w:val="000000"/>
                      <w:sz w:val="24"/>
                    </w:rPr>
                  </w:pPr>
                  <w:r>
                    <w:rPr>
                      <w:rFonts w:hint="eastAsia"/>
                      <w:color w:val="000000"/>
                      <w:kern w:val="0"/>
                      <w:sz w:val="24"/>
                    </w:rPr>
                    <w:t>万力轮胎：0-5%</w:t>
                  </w:r>
                </w:p>
              </w:tc>
            </w:tr>
            <w:tr w14:paraId="1C08F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2771" w:type="dxa"/>
                  <w:noWrap w:val="0"/>
                  <w:vAlign w:val="center"/>
                </w:tcPr>
                <w:p w14:paraId="078F81F2">
                  <w:pPr>
                    <w:adjustRightInd w:val="0"/>
                    <w:snapToGrid w:val="0"/>
                    <w:rPr>
                      <w:rFonts w:hint="eastAsia"/>
                      <w:color w:val="000000"/>
                      <w:kern w:val="0"/>
                      <w:sz w:val="24"/>
                    </w:rPr>
                  </w:pPr>
                  <w:r>
                    <w:rPr>
                      <w:rFonts w:hint="eastAsia"/>
                      <w:color w:val="000000"/>
                      <w:kern w:val="0"/>
                      <w:sz w:val="24"/>
                    </w:rPr>
                    <w:t>上游：汽车零部件检测服务市场</w:t>
                  </w:r>
                </w:p>
                <w:p w14:paraId="222DBD97">
                  <w:pPr>
                    <w:adjustRightInd w:val="0"/>
                    <w:snapToGrid w:val="0"/>
                    <w:rPr>
                      <w:color w:val="000000"/>
                      <w:kern w:val="0"/>
                      <w:sz w:val="24"/>
                    </w:rPr>
                  </w:pPr>
                  <w:r>
                    <w:rPr>
                      <w:rFonts w:hint="eastAsia"/>
                      <w:color w:val="000000"/>
                      <w:kern w:val="0"/>
                      <w:sz w:val="24"/>
                    </w:rPr>
                    <w:t>下游：全钢子午线轮胎市场</w:t>
                  </w:r>
                </w:p>
              </w:tc>
              <w:tc>
                <w:tcPr>
                  <w:tcW w:w="1863" w:type="dxa"/>
                  <w:noWrap w:val="0"/>
                  <w:vAlign w:val="center"/>
                </w:tcPr>
                <w:p w14:paraId="31385BA7">
                  <w:pPr>
                    <w:adjustRightInd w:val="0"/>
                    <w:snapToGrid w:val="0"/>
                    <w:rPr>
                      <w:rFonts w:hint="eastAsia"/>
                      <w:color w:val="000000"/>
                      <w:kern w:val="0"/>
                      <w:sz w:val="24"/>
                    </w:rPr>
                  </w:pPr>
                  <w:r>
                    <w:rPr>
                      <w:rFonts w:hint="eastAsia"/>
                      <w:color w:val="000000"/>
                      <w:kern w:val="0"/>
                      <w:sz w:val="24"/>
                    </w:rPr>
                    <w:t>上游：中国境内</w:t>
                  </w:r>
                </w:p>
                <w:p w14:paraId="5EA81853">
                  <w:pPr>
                    <w:adjustRightInd w:val="0"/>
                    <w:snapToGrid w:val="0"/>
                    <w:rPr>
                      <w:color w:val="000000"/>
                      <w:kern w:val="0"/>
                      <w:sz w:val="24"/>
                    </w:rPr>
                  </w:pPr>
                  <w:r>
                    <w:rPr>
                      <w:rFonts w:hint="eastAsia"/>
                      <w:color w:val="000000"/>
                      <w:kern w:val="0"/>
                      <w:sz w:val="24"/>
                    </w:rPr>
                    <w:t>下游：中国境内</w:t>
                  </w:r>
                </w:p>
              </w:tc>
              <w:tc>
                <w:tcPr>
                  <w:tcW w:w="2730" w:type="dxa"/>
                  <w:noWrap w:val="0"/>
                  <w:vAlign w:val="center"/>
                </w:tcPr>
                <w:p w14:paraId="30F70F3D">
                  <w:pPr>
                    <w:adjustRightInd w:val="0"/>
                    <w:snapToGrid w:val="0"/>
                    <w:rPr>
                      <w:rFonts w:hint="eastAsia"/>
                      <w:color w:val="000000"/>
                      <w:kern w:val="0"/>
                      <w:sz w:val="24"/>
                    </w:rPr>
                  </w:pPr>
                  <w:r>
                    <w:rPr>
                      <w:rFonts w:hint="eastAsia"/>
                      <w:color w:val="000000"/>
                      <w:kern w:val="0"/>
                      <w:sz w:val="24"/>
                    </w:rPr>
                    <w:t>上游：中国境内零部件检测服务市场</w:t>
                  </w:r>
                </w:p>
                <w:p w14:paraId="6ADCEAEB">
                  <w:pPr>
                    <w:adjustRightInd w:val="0"/>
                    <w:snapToGrid w:val="0"/>
                    <w:rPr>
                      <w:rFonts w:hint="eastAsia"/>
                      <w:color w:val="000000"/>
                      <w:kern w:val="0"/>
                      <w:sz w:val="24"/>
                    </w:rPr>
                  </w:pPr>
                  <w:r>
                    <w:rPr>
                      <w:rFonts w:hint="eastAsia"/>
                      <w:color w:val="000000"/>
                      <w:kern w:val="0"/>
                      <w:sz w:val="24"/>
                    </w:rPr>
                    <w:t>赛宝集团：0-5%</w:t>
                  </w:r>
                </w:p>
                <w:p w14:paraId="185B22A1">
                  <w:pPr>
                    <w:adjustRightInd w:val="0"/>
                    <w:snapToGrid w:val="0"/>
                    <w:rPr>
                      <w:rFonts w:hint="eastAsia"/>
                      <w:color w:val="000000"/>
                      <w:kern w:val="0"/>
                      <w:sz w:val="24"/>
                    </w:rPr>
                  </w:pPr>
                  <w:r>
                    <w:rPr>
                      <w:rFonts w:hint="eastAsia"/>
                      <w:color w:val="000000"/>
                      <w:kern w:val="0"/>
                      <w:sz w:val="24"/>
                    </w:rPr>
                    <w:t>下游：中国境内全钢子午线轮胎市场</w:t>
                  </w:r>
                </w:p>
                <w:p w14:paraId="3EC92645">
                  <w:pPr>
                    <w:adjustRightInd w:val="0"/>
                    <w:snapToGrid w:val="0"/>
                    <w:rPr>
                      <w:bCs/>
                      <w:color w:val="000000"/>
                      <w:sz w:val="24"/>
                    </w:rPr>
                  </w:pPr>
                  <w:r>
                    <w:rPr>
                      <w:rFonts w:hint="eastAsia"/>
                      <w:color w:val="000000"/>
                      <w:kern w:val="0"/>
                      <w:sz w:val="24"/>
                    </w:rPr>
                    <w:t>万力轮胎：0-5%</w:t>
                  </w:r>
                </w:p>
              </w:tc>
            </w:tr>
          </w:tbl>
          <w:p w14:paraId="7DB7BAAB">
            <w:pPr>
              <w:pStyle w:val="2"/>
              <w:adjustRightInd w:val="0"/>
              <w:snapToGrid w:val="0"/>
              <w:spacing w:after="0"/>
              <w:rPr>
                <w:rFonts w:hint="default" w:ascii="Times New Roman" w:hAnsi="Times New Roman" w:eastAsia="宋体" w:cs="Times New Roman"/>
                <w:b/>
                <w:color w:val="000000" w:themeColor="text1"/>
                <w:kern w:val="0"/>
                <w:sz w:val="24"/>
                <w:szCs w:val="24"/>
                <w:lang w:val="en-US" w:eastAsia="zh-CN" w:bidi="ar-SA"/>
                <w14:textFill>
                  <w14:solidFill>
                    <w14:schemeClr w14:val="tx1"/>
                  </w14:solidFill>
                </w14:textFill>
              </w:rPr>
            </w:pPr>
          </w:p>
        </w:tc>
      </w:tr>
    </w:tbl>
    <w:p w14:paraId="1DE3A3F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4B4503"/>
    <w:rsid w:val="2B4B4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省市场监督管理局</Company>
  <Pages>2</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2025-12-11T02:05:00Z</dcterms:created>
  <dc:creator>王雪娇</dc:creator>
  <cp:lastModifiedBy>王雪娇</cp:lastModifiedBy>
  <dcterms:modified xsi:type="dcterms:W3CDTF">2025-12-11T02:06:57Z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ABA83E20C4A5461ABB9CAD1BE7A00FEF_11</vt:lpwstr>
  </property>
  <property fmtid="{D5CDD505-2E9C-101B-9397-08002B2CF9AE}" pid="4" name="KSOTemplateDocerSaveRecord">
    <vt:lpwstr>eyJoZGlkIjoiODNjM2VkZWUwYjdkZDYzZGY2NmZiZGNiZGIyMjFjYWIiLCJ1c2VySWQiOiIxMjE0ODEzMDc5In0=</vt:lpwstr>
  </property>
</Properties>
</file>