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3A021">
      <w:pPr>
        <w:spacing w:line="590" w:lineRule="exact"/>
        <w:rPr>
          <w:rFonts w:hint="default" w:ascii="Times New Roman" w:hAnsi="Times New Roman" w:cs="Times New Roman"/>
          <w:color w:val="auto"/>
          <w:highlight w:val="none"/>
          <w:lang w:val="en-US"/>
        </w:rPr>
      </w:pPr>
      <w:r>
        <w:rPr>
          <w:rFonts w:hint="default" w:ascii="Times New Roman" w:hAnsi="Times New Roman" w:eastAsia="黑体" w:cs="Times New Roman"/>
          <w:color w:val="auto"/>
          <w:highlight w:val="none"/>
        </w:rPr>
        <w:t>附件</w:t>
      </w:r>
      <w:r>
        <w:rPr>
          <w:rFonts w:hint="default" w:ascii="Times New Roman" w:hAnsi="Times New Roman" w:eastAsia="黑体" w:cs="Times New Roman"/>
          <w:color w:val="auto"/>
          <w:highlight w:val="none"/>
          <w:lang w:val="en-US" w:eastAsia="zh-CN"/>
        </w:rPr>
        <w:t>15</w:t>
      </w:r>
    </w:p>
    <w:p w14:paraId="562C87EA">
      <w:pPr>
        <w:widowControl/>
        <w:shd w:val="clear" w:color="auto" w:fill="FFFFFF"/>
        <w:snapToGrid w:val="0"/>
        <w:spacing w:line="590" w:lineRule="exact"/>
        <w:jc w:val="center"/>
        <w:rPr>
          <w:rFonts w:hint="eastAsia" w:ascii="方正小标宋简体" w:hAnsi="仿宋" w:eastAsia="方正小标宋简体" w:cs="仿宋"/>
          <w:sz w:val="44"/>
          <w:szCs w:val="44"/>
          <w:highlight w:val="none"/>
        </w:rPr>
      </w:pPr>
      <w:r>
        <w:rPr>
          <w:rFonts w:hint="eastAsia" w:ascii="方正小标宋简体" w:hAnsi="仿宋" w:eastAsia="方正小标宋简体" w:cs="仿宋"/>
          <w:sz w:val="44"/>
          <w:szCs w:val="44"/>
          <w:highlight w:val="none"/>
        </w:rPr>
        <w:t>关于部分</w:t>
      </w:r>
      <w:r>
        <w:rPr>
          <w:rFonts w:hint="eastAsia" w:ascii="方正小标宋简体" w:hAnsi="仿宋" w:eastAsia="方正小标宋简体" w:cs="仿宋"/>
          <w:sz w:val="44"/>
          <w:szCs w:val="44"/>
          <w:highlight w:val="none"/>
          <w:lang w:eastAsia="zh-CN"/>
        </w:rPr>
        <w:t>抽检项目</w:t>
      </w:r>
      <w:r>
        <w:rPr>
          <w:rFonts w:hint="eastAsia" w:ascii="方正小标宋简体" w:hAnsi="仿宋" w:eastAsia="方正小标宋简体" w:cs="仿宋"/>
          <w:sz w:val="44"/>
          <w:szCs w:val="44"/>
          <w:highlight w:val="none"/>
        </w:rPr>
        <w:t>的说明</w:t>
      </w:r>
    </w:p>
    <w:p w14:paraId="6861057F">
      <w:pPr>
        <w:widowControl/>
        <w:shd w:val="clear" w:color="auto" w:fill="FFFFFF"/>
        <w:snapToGrid w:val="0"/>
        <w:spacing w:line="590" w:lineRule="exact"/>
        <w:rPr>
          <w:rFonts w:hint="eastAsia" w:ascii="Times New Roman" w:hAnsi="Times New Roman" w:eastAsia="仿宋_GB2312"/>
          <w:highlight w:val="none"/>
        </w:rPr>
      </w:pPr>
    </w:p>
    <w:p w14:paraId="498331CB">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一、</w:t>
      </w:r>
      <w:r>
        <w:rPr>
          <w:rFonts w:hint="eastAsia" w:ascii="黑体" w:hAnsi="黑体" w:eastAsia="黑体" w:cs="黑体"/>
          <w:szCs w:val="32"/>
          <w:highlight w:val="none"/>
          <w:lang w:val="en-US" w:eastAsia="zh-CN"/>
        </w:rPr>
        <w:t>铜绿假单胞菌</w:t>
      </w:r>
    </w:p>
    <w:p w14:paraId="0E94C83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Times New Roman"/>
          <w:bCs/>
          <w:kern w:val="2"/>
          <w:sz w:val="32"/>
          <w:szCs w:val="32"/>
          <w:highlight w:val="none"/>
          <w:lang w:val="en-US" w:eastAsia="zh-CN" w:bidi="ar"/>
        </w:rPr>
      </w:pPr>
      <w:r>
        <w:rPr>
          <w:rFonts w:hint="eastAsia" w:ascii="Times New Roman" w:hAnsi="Times New Roman" w:eastAsia="仿宋_GB2312" w:cs="仿宋_GB2312"/>
          <w:bCs/>
          <w:kern w:val="0"/>
          <w:sz w:val="32"/>
          <w:szCs w:val="32"/>
          <w:highlight w:val="none"/>
          <w:lang w:val="en-US" w:eastAsia="zh-CN" w:bidi="ar"/>
        </w:rPr>
        <w:t>铜绿假单胞菌是革兰氏阴性无芽孢杆菌，是重要的食品腐败性细菌。广泛分布于水、空气、正常人的皮肤、呼吸道和肠道等，易在潮湿的环境存活，对消毒剂、紫外线等具有较强的抵抗力。铜绿假单胞菌作为常见的水源性条件致病菌，可殖于人体呼吸道、胃肠道、皮肤等部位，在特定条件下可引起呼吸道、泌尿道、创伤面等部位感染，甚至能引起急性或慢性感染。饮用水中铜绿假单胞菌不合格，可能是因为原料使用了受污染的水体，或者制水过程中消毒杀菌控制不彻底等</w:t>
      </w:r>
      <w:r>
        <w:rPr>
          <w:rFonts w:hint="eastAsia" w:ascii="Times New Roman" w:hAnsi="Times New Roman" w:eastAsia="仿宋_GB2312" w:cs="Times New Roman"/>
          <w:bCs/>
          <w:kern w:val="2"/>
          <w:sz w:val="32"/>
          <w:szCs w:val="32"/>
          <w:highlight w:val="none"/>
          <w:lang w:val="en-US" w:eastAsia="zh-CN" w:bidi="ar"/>
        </w:rPr>
        <w:t>。</w:t>
      </w:r>
    </w:p>
    <w:p w14:paraId="4D09492D">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二、</w:t>
      </w:r>
      <w:r>
        <w:rPr>
          <w:rFonts w:hint="eastAsia" w:ascii="Times New Roman" w:hAnsi="Times New Roman" w:eastAsia="黑体" w:cs="黑体"/>
          <w:color w:val="000000"/>
          <w:kern w:val="0"/>
          <w:sz w:val="32"/>
          <w:szCs w:val="32"/>
          <w:lang w:val="en-US" w:eastAsia="zh-CN"/>
        </w:rPr>
        <w:t>二氧化硫残留量</w:t>
      </w:r>
    </w:p>
    <w:p w14:paraId="75F3785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Times New Roman"/>
          <w:bCs/>
          <w:kern w:val="2"/>
          <w:sz w:val="32"/>
          <w:szCs w:val="32"/>
          <w:lang w:val="en-US" w:eastAsia="zh-CN" w:bidi="ar"/>
        </w:rPr>
        <w:t>二氧化硫是食品加工中常用的漂白剂和防腐剂，具有漂白、防腐和抗氧化作用。少量二氧化硫进入人体不会对身体造成健康危害，但过量食用会引起如恶心、呕吐等胃肠道反应。《食品安全国家标准  食品添加剂使用标准》（GB 2760-2024）中规定，发酵蔬菜制品不得使用二氧化硫。发酵蔬菜制品二氧化硫残留量检出的原因，可能是企业在生产加工过程中超范围使用相关食品添加剂。</w:t>
      </w:r>
    </w:p>
    <w:p w14:paraId="6D9C50E7">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三、</w:t>
      </w:r>
      <w:r>
        <w:rPr>
          <w:rFonts w:hint="eastAsia" w:ascii="Times New Roman" w:hAnsi="Times New Roman" w:eastAsia="黑体" w:cs="黑体"/>
          <w:color w:val="000000"/>
          <w:kern w:val="0"/>
          <w:sz w:val="32"/>
          <w:szCs w:val="32"/>
          <w:lang w:val="en-US" w:eastAsia="zh-CN"/>
        </w:rPr>
        <w:t>柠檬黄</w:t>
      </w:r>
    </w:p>
    <w:p w14:paraId="2AA71FF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Times New Roman"/>
          <w:bCs/>
          <w:kern w:val="2"/>
          <w:sz w:val="32"/>
          <w:szCs w:val="32"/>
          <w:lang w:val="en-US" w:eastAsia="zh-CN" w:bidi="ar"/>
        </w:rPr>
        <w:t>柠檬黄又名食用黄色4号，水溶性偶氮类化合物，是常见的人工合成着色剂，在食品生产中应用广泛。如果长期摄入柠檬黄超标的食品，可能对人体肝脏等造成损害。柠檬黄超标的原因，可能是生产企业为改善产品色泽、提高市场价值而超量使用，还可能是企业掺假造假滥用色素。</w:t>
      </w:r>
    </w:p>
    <w:p w14:paraId="193ECB94">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四、</w:t>
      </w:r>
      <w:r>
        <w:rPr>
          <w:rFonts w:hint="eastAsia" w:ascii="Times New Roman" w:hAnsi="Times New Roman" w:eastAsia="黑体" w:cs="黑体"/>
          <w:color w:val="000000"/>
          <w:kern w:val="0"/>
          <w:sz w:val="32"/>
          <w:szCs w:val="32"/>
          <w:lang w:val="en-US" w:eastAsia="zh-CN"/>
        </w:rPr>
        <w:t>相同色泽着色剂混合使用时各自用量占其最大使用量的比例之和</w:t>
      </w:r>
    </w:p>
    <w:p w14:paraId="2315885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Times New Roman"/>
          <w:bCs/>
          <w:kern w:val="2"/>
          <w:sz w:val="32"/>
          <w:szCs w:val="32"/>
          <w:lang w:val="en-US" w:eastAsia="zh-CN" w:bidi="ar"/>
        </w:rPr>
        <w:t>着色剂又称食用色素，用于赋予和改善食品的色泽。如果长期过量摄入，会加重肝脏和胃肠道的负担，对人体健康造成一定危害。《食品安全国家标准  食品添加剂使用标准》（GB 2760-2024）中规定，相同色泽着色剂在混合使用时，各自用量占其最大使用量的比例之和不得超过1。蜜饯中相同色泽着色剂混合使用时各自用量占其最大使用量的比例之和检测值超标的原因，可能是生产企业对食品安全国家标准不了解而超限量添加多种相同色泽着色剂，也可能是在生产加工过程中未严格控制各相同色泽着色剂的用量。</w:t>
      </w:r>
    </w:p>
    <w:p w14:paraId="7713719E">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五、</w:t>
      </w:r>
      <w:r>
        <w:rPr>
          <w:rFonts w:hint="eastAsia" w:ascii="Times New Roman" w:hAnsi="Times New Roman" w:eastAsia="黑体" w:cs="黑体"/>
          <w:color w:val="000000"/>
          <w:kern w:val="0"/>
          <w:sz w:val="32"/>
          <w:szCs w:val="32"/>
          <w:lang w:val="en-US" w:eastAsia="zh-CN"/>
        </w:rPr>
        <w:t>铅（以Pb计）</w:t>
      </w:r>
    </w:p>
    <w:p w14:paraId="14FE61F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Times New Roman"/>
          <w:bCs/>
          <w:kern w:val="2"/>
          <w:sz w:val="32"/>
          <w:szCs w:val="32"/>
          <w:lang w:val="en-US" w:eastAsia="zh-CN" w:bidi="ar"/>
        </w:rPr>
        <w:t>铅是一种常见的重金属元素污染物，会严重危害人体健康。长期食用铅超标的食品，可能会对人体的血液系统、神经系统产生损害，尤其对儿童生长和智力发育的影响较大。《食品安全国家标准  食品中污染物限量》（GB 2762-2022）中规定，铅（以Pb计）在蜜饯中的限量值分别为0.8mg/kg。铅（以Pb计）检测值超标的原因，可能是生产企业使用的蔬菜、水果原料中铅含量超标，也可能是生产设备或包装材料中的铅迁移带入。</w:t>
      </w:r>
    </w:p>
    <w:p w14:paraId="4FCD99BF">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六、</w:t>
      </w:r>
      <w:r>
        <w:rPr>
          <w:rFonts w:hint="eastAsia" w:ascii="Times New Roman" w:hAnsi="Times New Roman" w:eastAsia="黑体" w:cs="黑体"/>
          <w:color w:val="000000"/>
          <w:kern w:val="0"/>
          <w:sz w:val="32"/>
          <w:szCs w:val="32"/>
          <w:lang w:val="en-US" w:eastAsia="zh-CN"/>
        </w:rPr>
        <w:t>不溶于水杂质</w:t>
      </w:r>
    </w:p>
    <w:p w14:paraId="2F91140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Times New Roman"/>
          <w:bCs/>
          <w:kern w:val="2"/>
          <w:sz w:val="32"/>
          <w:szCs w:val="32"/>
          <w:lang w:val="en-US" w:eastAsia="zh-CN" w:bidi="ar"/>
        </w:rPr>
        <w:t>不溶于水杂质含量是衡算食糖质量的一个理化指标。不溶于水杂质存在会影响食品品质和外观，从而影响食品和饮料销售。</w:t>
      </w:r>
    </w:p>
    <w:p w14:paraId="6B92508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Times New Roman"/>
          <w:bCs/>
          <w:kern w:val="2"/>
          <w:sz w:val="32"/>
          <w:szCs w:val="32"/>
          <w:lang w:val="en-US" w:eastAsia="zh-CN" w:bidi="ar"/>
        </w:rPr>
        <w:t>不合格的原因主要是生产管理过程中形成，比如原料来源、生产工艺设备性能、过程管理控制等因素。</w:t>
      </w:r>
    </w:p>
    <w:p w14:paraId="4E777E4B">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七、</w:t>
      </w:r>
      <w:r>
        <w:rPr>
          <w:rFonts w:hint="eastAsia" w:ascii="Times New Roman" w:hAnsi="Times New Roman" w:eastAsia="黑体" w:cs="黑体"/>
          <w:color w:val="000000"/>
          <w:kern w:val="0"/>
          <w:sz w:val="32"/>
          <w:szCs w:val="32"/>
          <w:lang w:val="en-US" w:eastAsia="zh-CN"/>
        </w:rPr>
        <w:t>噻虫胺</w:t>
      </w:r>
    </w:p>
    <w:p w14:paraId="219C3FC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仿宋_GB2312"/>
          <w:bCs/>
          <w:kern w:val="0"/>
          <w:sz w:val="32"/>
          <w:szCs w:val="32"/>
          <w:lang w:val="en-US" w:eastAsia="zh-CN" w:bidi="ar"/>
        </w:rPr>
        <w:t>噻虫胺属新烟碱类杀虫剂，具有内吸性、触杀和胃毒作用，对姜蛆等有较好防效。少量的残留不会引起人体急性中毒，但长期食用噻虫胺超标的食品，对人体健康可能有一定影响。噻虫胺残留量超标的原因，可能是为快速控制虫害，加大用药量或未遵守采摘间隔期规定，致使上市销售的产品中残留量超标</w:t>
      </w:r>
      <w:r>
        <w:rPr>
          <w:rFonts w:hint="eastAsia" w:ascii="Times New Roman" w:hAnsi="Times New Roman" w:eastAsia="仿宋_GB2312" w:cs="Times New Roman"/>
          <w:bCs/>
          <w:kern w:val="2"/>
          <w:sz w:val="32"/>
          <w:szCs w:val="32"/>
          <w:lang w:val="en-US" w:eastAsia="zh-CN" w:bidi="ar"/>
        </w:rPr>
        <w:t>。</w:t>
      </w:r>
    </w:p>
    <w:p w14:paraId="20D44C66">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八、</w:t>
      </w:r>
      <w:r>
        <w:rPr>
          <w:rFonts w:hint="eastAsia" w:ascii="Times New Roman" w:hAnsi="Times New Roman" w:eastAsia="黑体" w:cs="黑体"/>
          <w:color w:val="000000"/>
          <w:kern w:val="0"/>
          <w:sz w:val="32"/>
          <w:szCs w:val="32"/>
          <w:lang w:val="en-US" w:eastAsia="zh-CN"/>
        </w:rPr>
        <w:t>克百威</w:t>
      </w:r>
    </w:p>
    <w:p w14:paraId="4EFDC029">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仿宋_GB2312"/>
          <w:bCs/>
          <w:kern w:val="0"/>
          <w:sz w:val="32"/>
          <w:szCs w:val="32"/>
          <w:lang w:val="en-US" w:eastAsia="zh-CN" w:bidi="ar"/>
        </w:rPr>
      </w:pPr>
      <w:r>
        <w:rPr>
          <w:rFonts w:hint="eastAsia" w:ascii="Times New Roman" w:hAnsi="Times New Roman" w:eastAsia="仿宋_GB2312" w:cs="仿宋_GB2312"/>
          <w:bCs/>
          <w:kern w:val="0"/>
          <w:sz w:val="32"/>
          <w:szCs w:val="32"/>
          <w:lang w:val="en-US" w:eastAsia="zh-CN" w:bidi="ar"/>
        </w:rPr>
        <w:t>克百威又名呋喃丹，是氨基甲酸酯类农药中常见的一种杀虫剂。少量的残留不会引起人体急性中毒，但长期食用克百威超标的食品，对人体健康可能有一定影响。《食品安全国家标准  食品中农药最大残留限量》（GB 2763-2021）中规定，克百威在茄果类蔬菜中的最大残留限量值为0.02mg/kg。辣椒中克百威残留量超标的原因，可能是为快速控制虫害而违规使用。</w:t>
      </w:r>
    </w:p>
    <w:p w14:paraId="19536B70">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九、</w:t>
      </w:r>
      <w:r>
        <w:rPr>
          <w:rFonts w:hint="eastAsia" w:ascii="Times New Roman" w:hAnsi="Times New Roman" w:eastAsia="黑体" w:cs="黑体"/>
          <w:color w:val="000000"/>
          <w:kern w:val="0"/>
          <w:sz w:val="32"/>
          <w:szCs w:val="32"/>
          <w:lang w:val="en-US" w:eastAsia="zh-CN"/>
        </w:rPr>
        <w:t>戊唑醇</w:t>
      </w:r>
    </w:p>
    <w:p w14:paraId="113DCE8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仿宋_GB2312"/>
          <w:bCs/>
          <w:kern w:val="0"/>
          <w:sz w:val="32"/>
          <w:szCs w:val="32"/>
          <w:lang w:val="en-US" w:eastAsia="zh-CN" w:bidi="ar"/>
        </w:rPr>
      </w:pPr>
      <w:r>
        <w:rPr>
          <w:rFonts w:hint="eastAsia" w:ascii="Times New Roman" w:hAnsi="Times New Roman" w:eastAsia="仿宋_GB2312" w:cs="仿宋_GB2312"/>
          <w:bCs/>
          <w:kern w:val="0"/>
          <w:sz w:val="32"/>
          <w:szCs w:val="32"/>
          <w:lang w:val="en-US" w:eastAsia="zh-CN" w:bidi="ar"/>
        </w:rPr>
        <w:t>戊唑醇是一种具有保护、治疗和铲除作用的内吸性杀菌剂，对芒果炭疽病等有较好防效。少量的残留不会引起人体急性中毒，但长期食用戊唑醇超标的食品，对人体健康可能有一定影响。《食品安全国家标准  食品中农药最大残留限量》（GB 2763-2021）中规定，戊唑醇在橄榄中的最大残留限量值为0.05mg/kg。橄榄中戊唑醇残留量超标的原因，可能是为快速控制病情，加大用药量或未遵守采摘间隔期规定，致使上市销售的产品中残留量超标。</w:t>
      </w:r>
    </w:p>
    <w:p w14:paraId="4F1D2802">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十、</w:t>
      </w:r>
      <w:r>
        <w:rPr>
          <w:rFonts w:hint="eastAsia" w:ascii="Times New Roman" w:hAnsi="Times New Roman" w:eastAsia="黑体" w:cs="黑体"/>
          <w:color w:val="000000"/>
          <w:kern w:val="0"/>
          <w:sz w:val="32"/>
          <w:szCs w:val="32"/>
          <w:lang w:val="en-US" w:eastAsia="zh-CN"/>
        </w:rPr>
        <w:t>乙酰甲胺磷</w:t>
      </w:r>
    </w:p>
    <w:p w14:paraId="05159A5F">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仿宋_GB2312"/>
          <w:bCs/>
          <w:kern w:val="0"/>
          <w:sz w:val="32"/>
          <w:szCs w:val="32"/>
          <w:lang w:val="en-US" w:eastAsia="zh-CN" w:bidi="ar"/>
        </w:rPr>
      </w:pPr>
      <w:r>
        <w:rPr>
          <w:rFonts w:hint="eastAsia" w:ascii="Times New Roman" w:hAnsi="Times New Roman" w:eastAsia="仿宋_GB2312" w:cs="仿宋_GB2312"/>
          <w:bCs/>
          <w:kern w:val="0"/>
          <w:sz w:val="32"/>
          <w:szCs w:val="32"/>
          <w:lang w:val="en-US" w:eastAsia="zh-CN" w:bidi="ar"/>
        </w:rPr>
        <w:t>乙酰甲胺磷是一种缓效型杀虫剂，适用于适用于蔬菜、茶树、烟草、果树、棉花、水稻、小麦、油菜等作物，防治多种害虫。少量的农药残留不会引起人体急性中毒，但长期食用农药残留超标的食品，对人体健康有一定影响。乙酰甲胺磷残留量超标的原因，可能是为快速控制虫害，加大用药量或未遵守采摘间隔期规定，致使上市销售的产品中残留量超标。</w:t>
      </w:r>
    </w:p>
    <w:p w14:paraId="6A5FAD31">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十一、</w:t>
      </w:r>
      <w:r>
        <w:rPr>
          <w:rFonts w:hint="eastAsia" w:ascii="Times New Roman" w:hAnsi="Times New Roman" w:eastAsia="黑体" w:cs="黑体"/>
          <w:color w:val="000000"/>
          <w:kern w:val="0"/>
          <w:sz w:val="32"/>
          <w:szCs w:val="32"/>
          <w:lang w:val="en-US" w:eastAsia="zh-CN"/>
        </w:rPr>
        <w:t>镉（以Cd计）</w:t>
      </w:r>
    </w:p>
    <w:p w14:paraId="04185759">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仿宋_GB2312"/>
          <w:bCs/>
          <w:kern w:val="0"/>
          <w:sz w:val="32"/>
          <w:szCs w:val="32"/>
          <w:lang w:val="en-US" w:eastAsia="zh-CN" w:bidi="ar"/>
        </w:rPr>
        <w:t>镉是一种蓄积性的重金属元素，可通过食物链进入人体。长期食用镉超标的食品，可能会对人体肾脏和肝脏造成损害，还会影响免疫系统，甚至可能对儿童高级神经活动有损害。《食品安全国家标准  食品中污染物限量》（GB 2762-2022）中规定，镉（以Cd计）在姜中的限量值为0.1mg/kg。镉（以Cd计）检测值超标的原因，可能是其生长过程中富集环境中的镉元素</w:t>
      </w:r>
      <w:r>
        <w:rPr>
          <w:rFonts w:hint="eastAsia" w:ascii="Times New Roman" w:hAnsi="Times New Roman" w:eastAsia="仿宋_GB2312" w:cs="Times New Roman"/>
          <w:bCs/>
          <w:kern w:val="2"/>
          <w:sz w:val="32"/>
          <w:szCs w:val="32"/>
          <w:lang w:val="en-US" w:eastAsia="zh-CN" w:bidi="ar"/>
        </w:rPr>
        <w:t>。</w:t>
      </w:r>
    </w:p>
    <w:p w14:paraId="0E23AAA1">
      <w:pPr>
        <w:keepNext w:val="0"/>
        <w:keepLines w:val="0"/>
        <w:widowControl w:val="0"/>
        <w:suppressLineNumbers w:val="0"/>
        <w:spacing w:before="0" w:beforeAutospacing="0" w:after="0" w:afterAutospacing="0" w:line="580" w:lineRule="exact"/>
        <w:ind w:left="0" w:right="0" w:firstLine="640" w:firstLineChars="200"/>
        <w:jc w:val="both"/>
        <w:outlineLvl w:val="0"/>
        <w:rPr>
          <w:rFonts w:eastAsia="黑体"/>
          <w:bCs/>
          <w:kern w:val="0"/>
          <w:szCs w:val="32"/>
          <w:lang w:val="en-US"/>
        </w:rPr>
      </w:pPr>
      <w:r>
        <w:rPr>
          <w:rFonts w:hint="eastAsia" w:ascii="Times New Roman" w:hAnsi="Times New Roman" w:eastAsia="黑体" w:cs="黑体"/>
          <w:bCs/>
          <w:kern w:val="0"/>
          <w:sz w:val="32"/>
          <w:szCs w:val="32"/>
          <w:lang w:val="en-US" w:eastAsia="zh-CN" w:bidi="ar"/>
        </w:rPr>
        <w:t>十二、</w:t>
      </w:r>
      <w:r>
        <w:rPr>
          <w:rFonts w:hint="eastAsia" w:ascii="Times New Roman" w:hAnsi="Times New Roman" w:eastAsia="黑体" w:cs="黑体"/>
          <w:color w:val="000000"/>
          <w:kern w:val="0"/>
          <w:sz w:val="32"/>
          <w:szCs w:val="32"/>
          <w:lang w:val="en-US" w:eastAsia="zh-CN"/>
        </w:rPr>
        <w:t>阴离子合成洗涤剂（以十二烷基苯磺酸钠计）</w:t>
      </w:r>
    </w:p>
    <w:p w14:paraId="40C9470F">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r>
        <w:rPr>
          <w:rFonts w:hint="eastAsia" w:ascii="Times New Roman" w:hAnsi="Times New Roman" w:eastAsia="仿宋_GB2312" w:cs="仿宋_GB2312"/>
          <w:bCs/>
          <w:kern w:val="0"/>
          <w:sz w:val="32"/>
          <w:szCs w:val="32"/>
          <w:lang w:val="en-US" w:eastAsia="zh-CN" w:bidi="ar"/>
        </w:rPr>
        <w:t>阴离子合成洗涤剂主要成分是十二烷基苯磺酸钠，是一种低毒物质，因其使用方便、易溶解、稳定性好、成本低等优点被广泛使用。阴离子合成洗涤剂是消毒餐（饮）具质量评价的重要指标之一。如果餐具清洗消毒过程中控制不当，会造成洗涤剂在餐具上的残留过量，对人体健康产生不良影响。餐（饮）具中检出阴离子合成洗涤剂的原因可能是由于餐（饮）具消毒单位使用的洗涤剂不合格或使用量过大，或未经足够量清水冲洗，最终残留在餐（饮）具中</w:t>
      </w:r>
      <w:r>
        <w:rPr>
          <w:rFonts w:hint="eastAsia" w:ascii="Times New Roman" w:hAnsi="Times New Roman" w:eastAsia="仿宋_GB2312" w:cs="Times New Roman"/>
          <w:bCs/>
          <w:kern w:val="2"/>
          <w:sz w:val="32"/>
          <w:szCs w:val="32"/>
          <w:lang w:val="en-US" w:eastAsia="zh-CN" w:bidi="ar"/>
        </w:rPr>
        <w:t>。</w:t>
      </w:r>
    </w:p>
    <w:p w14:paraId="0069F30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Times New Roman"/>
          <w:bCs/>
          <w:kern w:val="2"/>
          <w:sz w:val="32"/>
          <w:szCs w:val="32"/>
          <w:lang w:val="en-US" w:eastAsia="zh-CN" w:bidi="ar"/>
        </w:rPr>
      </w:pPr>
    </w:p>
    <w:p w14:paraId="3BCF05B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640" w:firstLineChars="200"/>
        <w:textAlignment w:val="auto"/>
        <w:rPr>
          <w:rFonts w:hint="eastAsia" w:ascii="Times New Roman" w:hAnsi="Times New Roman" w:eastAsia="仿宋_GB2312" w:cs="Times New Roman"/>
          <w:bCs/>
          <w:kern w:val="2"/>
          <w:sz w:val="32"/>
          <w:szCs w:val="32"/>
          <w:lang w:val="en-US" w:eastAsia="zh-CN" w:bidi="ar"/>
        </w:rPr>
      </w:pPr>
    </w:p>
    <w:p w14:paraId="21911D2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B177F5"/>
    <w:rsid w:val="61B17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省市场监督管理局</Company>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2025-11-04T07:12:00Z</dcterms:created>
  <dc:creator>王雪娇</dc:creator>
  <cp:lastModifiedBy>王雪娇</cp:lastModifiedBy>
  <dcterms:modified xsi:type="dcterms:W3CDTF">2025-11-04T07:13:00Z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D74F2A205B8D40CBA515E24346A6FEA0_11</vt:lpwstr>
  </property>
  <property fmtid="{D5CDD505-2E9C-101B-9397-08002B2CF9AE}" pid="4" name="KSOTemplateDocerSaveRecord">
    <vt:lpwstr>eyJoZGlkIjoiODNjM2VkZWUwYjdkZDYzZGY2NmZiZGNiZGIyMjFjYWIiLCJ1c2VySWQiOiIxMDI4NzQ1MTQzIn0=</vt:lpwstr>
  </property>
</Properties>
</file>