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0F0F">
      <w:pPr>
        <w:keepNext w:val="0"/>
        <w:keepLines w:val="0"/>
        <w:widowControl/>
        <w:suppressLineNumbers w:val="0"/>
        <w:spacing w:before="0" w:beforeAutospacing="0" w:after="240" w:afterAutospacing="0"/>
        <w:ind w:left="0" w:right="0"/>
        <w:jc w:val="center"/>
        <w:rPr>
          <w:rFonts w:hint="eastAsia" w:ascii="方正小标宋简体" w:hAnsi="方正小标宋简体" w:eastAsia="方正小标宋简体" w:cs="方正小标宋简体"/>
          <w:kern w:val="0"/>
          <w:sz w:val="44"/>
          <w:szCs w:val="44"/>
          <w:lang w:val="en-GB" w:eastAsia="zh-CN" w:bidi="ar"/>
        </w:rPr>
      </w:pPr>
      <w:bookmarkStart w:id="0" w:name="_GoBack"/>
      <w:r>
        <w:rPr>
          <w:rFonts w:hint="eastAsia" w:ascii="方正小标宋简体" w:hAnsi="方正小标宋简体" w:eastAsia="方正小标宋简体" w:cs="方正小标宋简体"/>
          <w:kern w:val="0"/>
          <w:sz w:val="44"/>
          <w:szCs w:val="44"/>
          <w:lang w:val="en-GB" w:eastAsia="zh-CN" w:bidi="ar"/>
        </w:rPr>
        <w:t>经营者集中简易案件公示表</w:t>
      </w:r>
    </w:p>
    <w:bookmarkEnd w:id="0"/>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476"/>
        <w:gridCol w:w="6224"/>
      </w:tblGrid>
      <w:tr w14:paraId="6221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D9D9D9"/>
            <w:vAlign w:val="center"/>
          </w:tcPr>
          <w:p w14:paraId="6EA0BAF1">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案件名称</w:t>
            </w:r>
          </w:p>
        </w:tc>
        <w:tc>
          <w:tcPr>
            <w:tcW w:w="7700" w:type="dxa"/>
            <w:gridSpan w:val="2"/>
            <w:vAlign w:val="center"/>
          </w:tcPr>
          <w:p w14:paraId="31FB60E5">
            <w:pPr>
              <w:widowControl/>
              <w:adjustRightInd w:val="0"/>
              <w:snapToGrid w:val="0"/>
              <w:rPr>
                <w:rFonts w:hint="default" w:ascii="Times New Roman" w:hAnsi="Times New Roman" w:cs="Times New Roman"/>
                <w:bCs/>
                <w:color w:val="000000"/>
                <w:sz w:val="24"/>
              </w:rPr>
            </w:pPr>
            <w:r>
              <w:rPr>
                <w:rFonts w:hint="default" w:ascii="Times New Roman" w:hAnsi="Times New Roman" w:cs="Times New Roman"/>
                <w:sz w:val="24"/>
              </w:rPr>
              <w:t>中信私募基金管理有限公司与东莞金控股权投资基金管理有限公司新设合营企业案</w:t>
            </w:r>
          </w:p>
        </w:tc>
      </w:tr>
      <w:tr w14:paraId="43A4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D9D9D9"/>
            <w:vAlign w:val="center"/>
          </w:tcPr>
          <w:p w14:paraId="605701B1">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交易概况（限200字内）</w:t>
            </w:r>
          </w:p>
        </w:tc>
        <w:tc>
          <w:tcPr>
            <w:tcW w:w="7700" w:type="dxa"/>
            <w:gridSpan w:val="2"/>
            <w:vAlign w:val="center"/>
          </w:tcPr>
          <w:p w14:paraId="102AC41F">
            <w:pPr>
              <w:widowControl/>
              <w:adjustRightInd w:val="0"/>
              <w:snapToGrid w:val="0"/>
              <w:rPr>
                <w:rFonts w:hint="default" w:ascii="Times New Roman" w:hAnsi="Times New Roman" w:cs="Times New Roman"/>
                <w:sz w:val="24"/>
              </w:rPr>
            </w:pPr>
            <w:r>
              <w:rPr>
                <w:rFonts w:hint="default" w:ascii="Times New Roman" w:hAnsi="Times New Roman" w:cs="Times New Roman"/>
                <w:sz w:val="24"/>
              </w:rPr>
              <w:t>中信私募基金管理有限公司（“中信私募”）与东莞金控股权投资基金管理有限公司（“东莞金控”）等合伙人签署了交易协议，中信私募与东莞金控等合伙人拟设立一家有限合伙企业（“合营企业”）。合营企业将主要从事私募股权投资基金业务。</w:t>
            </w:r>
          </w:p>
          <w:p w14:paraId="38A65AC1">
            <w:pPr>
              <w:widowControl/>
              <w:adjustRightInd w:val="0"/>
              <w:snapToGrid w:val="0"/>
              <w:rPr>
                <w:rFonts w:hint="default" w:ascii="Times New Roman" w:hAnsi="Times New Roman" w:cs="Times New Roman"/>
                <w:sz w:val="24"/>
              </w:rPr>
            </w:pPr>
            <w:r>
              <w:rPr>
                <w:rFonts w:hint="default" w:ascii="Times New Roman" w:hAnsi="Times New Roman" w:cs="Times New Roman"/>
                <w:sz w:val="24"/>
              </w:rPr>
              <w:t>交易后，中信私募与东莞金控将作为合营企业的普通合伙人，分别持有合营企业0.07%和0.07%的出资份额，并共同控制合营企业。</w:t>
            </w:r>
          </w:p>
        </w:tc>
      </w:tr>
      <w:tr w14:paraId="31D4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restart"/>
            <w:shd w:val="clear" w:color="auto" w:fill="D9D9D9"/>
            <w:vAlign w:val="center"/>
          </w:tcPr>
          <w:p w14:paraId="3AAE74C7">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参与集中的经营者简介（每个限100字内）</w:t>
            </w:r>
          </w:p>
        </w:tc>
        <w:tc>
          <w:tcPr>
            <w:tcW w:w="1476" w:type="dxa"/>
            <w:vAlign w:val="center"/>
          </w:tcPr>
          <w:p w14:paraId="7C2ECAA6">
            <w:pPr>
              <w:pStyle w:val="2"/>
              <w:widowControl/>
              <w:adjustRightInd w:val="0"/>
              <w:snapToGrid w:val="0"/>
              <w:spacing w:after="0"/>
              <w:rPr>
                <w:rFonts w:hint="eastAsia" w:ascii="Times New Roman" w:hAnsi="Times New Roman" w:eastAsia="宋体" w:cs="Times New Roman"/>
                <w:bCs/>
                <w:color w:val="000000"/>
                <w:sz w:val="24"/>
                <w:lang w:val="en-US" w:eastAsia="zh-CN"/>
              </w:rPr>
            </w:pPr>
            <w:r>
              <w:rPr>
                <w:rFonts w:hint="default" w:ascii="Times New Roman" w:hAnsi="Times New Roman" w:cs="Times New Roman"/>
                <w:bCs/>
                <w:color w:val="000000"/>
                <w:sz w:val="24"/>
                <w:lang w:val="en-US" w:eastAsia="zh-CN"/>
              </w:rPr>
              <w:t>1</w:t>
            </w:r>
            <w:r>
              <w:rPr>
                <w:rFonts w:hint="default" w:ascii="Times New Roman" w:hAnsi="Times New Roman" w:cs="Times New Roman"/>
                <w:sz w:val="24"/>
              </w:rPr>
              <w:t>.</w:t>
            </w:r>
            <w:r>
              <w:rPr>
                <w:rFonts w:hint="eastAsia" w:ascii="Times New Roman" w:hAnsi="Times New Roman" w:cs="Times New Roman"/>
                <w:sz w:val="24"/>
                <w:lang w:eastAsia="zh-CN"/>
              </w:rPr>
              <w:t>中信私募</w:t>
            </w:r>
          </w:p>
        </w:tc>
        <w:tc>
          <w:tcPr>
            <w:tcW w:w="6224" w:type="dxa"/>
            <w:vAlign w:val="center"/>
          </w:tcPr>
          <w:p w14:paraId="6A61CBC1">
            <w:pPr>
              <w:pStyle w:val="2"/>
              <w:widowControl/>
              <w:adjustRightInd w:val="0"/>
              <w:snapToGrid w:val="0"/>
              <w:spacing w:after="0"/>
              <w:rPr>
                <w:rFonts w:hint="default" w:ascii="Times New Roman" w:hAnsi="Times New Roman" w:cs="Times New Roman"/>
                <w:sz w:val="24"/>
              </w:rPr>
            </w:pPr>
            <w:r>
              <w:rPr>
                <w:rFonts w:hint="default" w:ascii="Times New Roman" w:hAnsi="Times New Roman" w:cs="Times New Roman"/>
                <w:sz w:val="24"/>
              </w:rPr>
              <w:t>中信私募于2022年8月31日成立于北京市，主要业务为私募股权投资基金管理、创业投资基金管理服务、创业投资等。</w:t>
            </w:r>
          </w:p>
          <w:p w14:paraId="4A4E59B1">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sz w:val="24"/>
              </w:rPr>
              <w:t>中信私募的最终控制人为中国中信集团有限公司，主要业务包括综合金融、先进智造、先进材料、新消费、新型城镇化等。</w:t>
            </w:r>
          </w:p>
        </w:tc>
      </w:tr>
      <w:tr w14:paraId="5210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continue"/>
            <w:shd w:val="clear" w:color="auto" w:fill="D9D9D9"/>
            <w:vAlign w:val="center"/>
          </w:tcPr>
          <w:p w14:paraId="278F438A">
            <w:pPr>
              <w:pStyle w:val="2"/>
              <w:widowControl/>
              <w:adjustRightInd w:val="0"/>
              <w:snapToGrid w:val="0"/>
              <w:spacing w:after="0"/>
              <w:jc w:val="center"/>
              <w:rPr>
                <w:rFonts w:hint="default" w:ascii="Times New Roman" w:hAnsi="Times New Roman" w:cs="Times New Roman"/>
                <w:bCs/>
                <w:color w:val="000000"/>
                <w:sz w:val="24"/>
              </w:rPr>
            </w:pPr>
          </w:p>
        </w:tc>
        <w:tc>
          <w:tcPr>
            <w:tcW w:w="1476" w:type="dxa"/>
            <w:vAlign w:val="center"/>
          </w:tcPr>
          <w:p w14:paraId="05008E8E">
            <w:pPr>
              <w:pStyle w:val="2"/>
              <w:widowControl/>
              <w:adjustRightInd w:val="0"/>
              <w:snapToGrid w:val="0"/>
              <w:spacing w:after="0"/>
              <w:rPr>
                <w:rFonts w:hint="default" w:ascii="Times New Roman" w:hAnsi="Times New Roman" w:cs="Times New Roman"/>
                <w:bCs/>
                <w:color w:val="000000"/>
                <w:sz w:val="24"/>
                <w:lang w:val="en-US" w:eastAsia="zh-CN"/>
              </w:rPr>
            </w:pPr>
            <w:r>
              <w:rPr>
                <w:rFonts w:hint="default" w:ascii="Times New Roman" w:hAnsi="Times New Roman" w:cs="Times New Roman"/>
                <w:bCs/>
                <w:color w:val="000000"/>
                <w:sz w:val="24"/>
                <w:lang w:val="en-US" w:eastAsia="zh-CN"/>
              </w:rPr>
              <w:t>2.</w:t>
            </w:r>
            <w:r>
              <w:rPr>
                <w:rFonts w:hint="eastAsia" w:cs="Times New Roman"/>
                <w:bCs/>
                <w:color w:val="000000"/>
                <w:sz w:val="24"/>
                <w:lang w:val="en-US" w:eastAsia="zh-CN"/>
              </w:rPr>
              <w:t>东莞金控</w:t>
            </w:r>
          </w:p>
        </w:tc>
        <w:tc>
          <w:tcPr>
            <w:tcW w:w="6224" w:type="dxa"/>
            <w:vAlign w:val="center"/>
          </w:tcPr>
          <w:p w14:paraId="5935014D">
            <w:pPr>
              <w:pStyle w:val="2"/>
              <w:widowControl/>
              <w:adjustRightInd w:val="0"/>
              <w:snapToGrid w:val="0"/>
              <w:spacing w:after="0"/>
              <w:rPr>
                <w:rFonts w:hint="default" w:ascii="Times New Roman" w:hAnsi="Times New Roman" w:cs="Times New Roman"/>
                <w:sz w:val="24"/>
              </w:rPr>
            </w:pPr>
            <w:r>
              <w:rPr>
                <w:rFonts w:hint="default" w:ascii="Times New Roman" w:hAnsi="Times New Roman" w:cs="Times New Roman"/>
                <w:sz w:val="24"/>
              </w:rPr>
              <w:t>东莞金控于2018年11月13日成立于广东省东莞市，主要业务为私募股权投资基金管理、创业投资基金管理服务、创业投资等。</w:t>
            </w:r>
          </w:p>
          <w:p w14:paraId="081C4E91">
            <w:pPr>
              <w:pStyle w:val="2"/>
              <w:widowControl/>
              <w:adjustRightInd w:val="0"/>
              <w:snapToGrid w:val="0"/>
              <w:spacing w:after="0"/>
              <w:rPr>
                <w:rFonts w:hint="default" w:ascii="Times New Roman" w:hAnsi="Times New Roman" w:cs="Times New Roman"/>
                <w:sz w:val="24"/>
              </w:rPr>
            </w:pPr>
            <w:r>
              <w:rPr>
                <w:rFonts w:hint="default" w:ascii="Times New Roman" w:hAnsi="Times New Roman" w:cs="Times New Roman"/>
                <w:sz w:val="24"/>
              </w:rPr>
              <w:t>东莞金控的最终控制人为东莞市投资控股集团有限公司，主要业务为金融及战略性产业投资、资本运营等。</w:t>
            </w:r>
          </w:p>
        </w:tc>
      </w:tr>
      <w:tr w14:paraId="7D71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D9D9D9"/>
            <w:vAlign w:val="center"/>
          </w:tcPr>
          <w:p w14:paraId="04A29D9A">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简易案件理由（可以单选，也可以多选）</w:t>
            </w:r>
          </w:p>
        </w:tc>
        <w:tc>
          <w:tcPr>
            <w:tcW w:w="7700" w:type="dxa"/>
            <w:gridSpan w:val="2"/>
            <w:vAlign w:val="center"/>
          </w:tcPr>
          <w:p w14:paraId="47321B79">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FE"/>
            </w:r>
            <w:r>
              <w:rPr>
                <w:rFonts w:hint="default" w:ascii="Times New Roman" w:hAnsi="Times New Roman" w:cs="Times New Roman"/>
                <w:bCs/>
                <w:color w:val="000000"/>
                <w:sz w:val="24"/>
              </w:rPr>
              <w:t xml:space="preserve"> 1、在同一相关市场，所有参与集中的经营者所占市场份额之和小于15%。</w:t>
            </w:r>
          </w:p>
        </w:tc>
      </w:tr>
      <w:tr w14:paraId="2FF0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D9D9D9"/>
            <w:vAlign w:val="center"/>
          </w:tcPr>
          <w:p w14:paraId="628BFAE1">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00D44E9B">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2、存在上下游关系的参与集中的经营者，在上下游市场所占的市场份额均小于25%。</w:t>
            </w:r>
          </w:p>
        </w:tc>
      </w:tr>
      <w:tr w14:paraId="4F12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D9D9D9"/>
            <w:vAlign w:val="center"/>
          </w:tcPr>
          <w:p w14:paraId="6414FE39">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4AE72369">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3、不在同一相关市场、也不存在上下游关系的参与集中的经营者，在与交易有关的每个市场所占的份额均小于25%。</w:t>
            </w:r>
          </w:p>
        </w:tc>
      </w:tr>
      <w:tr w14:paraId="5FFD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D9D9D9"/>
            <w:vAlign w:val="center"/>
          </w:tcPr>
          <w:p w14:paraId="6677F3AC">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6D13667F">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4、参与集中的经营者在中国境外设立合营企业，合营企业不在中国境内从事经济活动。</w:t>
            </w:r>
          </w:p>
        </w:tc>
      </w:tr>
      <w:tr w14:paraId="4C2F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D9D9D9"/>
            <w:vAlign w:val="center"/>
          </w:tcPr>
          <w:p w14:paraId="26E5CAF3">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6831D66F">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5、参与集中的经营者收购境外企业股权或资产的，该境外企业不在中国境内从事经济活动。</w:t>
            </w:r>
          </w:p>
        </w:tc>
      </w:tr>
      <w:tr w14:paraId="6F0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D9D9D9"/>
            <w:vAlign w:val="center"/>
          </w:tcPr>
          <w:p w14:paraId="12989BB2">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7AD3186F">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6、由两个以上的经营者共同控制的合营企业，通过集中被其中一个或一个以上经营者控制。</w:t>
            </w:r>
          </w:p>
        </w:tc>
      </w:tr>
      <w:tr w14:paraId="0903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0" w:type="dxa"/>
            <w:shd w:val="clear" w:color="auto" w:fill="D9D9D9"/>
            <w:vAlign w:val="center"/>
          </w:tcPr>
          <w:p w14:paraId="595185E5">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备注</w:t>
            </w:r>
          </w:p>
        </w:tc>
        <w:tc>
          <w:tcPr>
            <w:tcW w:w="7700" w:type="dxa"/>
            <w:gridSpan w:val="2"/>
            <w:vAlign w:val="center"/>
          </w:tcPr>
          <w:p w14:paraId="74CFB857">
            <w:pPr>
              <w:pStyle w:val="2"/>
              <w:adjustRightInd w:val="0"/>
              <w:snapToGrid w:val="0"/>
              <w:spacing w:after="0"/>
              <w:rPr>
                <w:rFonts w:hint="eastAsia" w:cs="Times New Roman"/>
                <w:b/>
                <w:bCs w:val="0"/>
                <w:color w:val="000000" w:themeColor="text1"/>
                <w:kern w:val="0"/>
                <w:sz w:val="24"/>
                <w:szCs w:val="24"/>
                <w:lang w:val="en-US" w:eastAsia="zh-CN" w:bidi="ar-SA"/>
                <w14:textFill>
                  <w14:solidFill>
                    <w14:schemeClr w14:val="tx1"/>
                  </w14:solidFill>
                </w14:textFill>
              </w:rPr>
            </w:pPr>
            <w:r>
              <w:rPr>
                <w:rFonts w:hint="eastAsia" w:cs="Times New Roman"/>
                <w:b/>
                <w:bCs w:val="0"/>
                <w:color w:val="000000" w:themeColor="text1"/>
                <w:kern w:val="0"/>
                <w:sz w:val="24"/>
                <w:szCs w:val="24"/>
                <w:lang w:val="en-US" w:eastAsia="zh-CN" w:bidi="ar-SA"/>
                <w14:textFill>
                  <w14:solidFill>
                    <w14:schemeClr w14:val="tx1"/>
                  </w14:solidFill>
                </w14:textFill>
              </w:rPr>
              <w:t>横向重叠：</w:t>
            </w:r>
          </w:p>
          <w:p w14:paraId="4C3D973B">
            <w:pPr>
              <w:pStyle w:val="2"/>
              <w:adjustRightInd w:val="0"/>
              <w:snapToGrid w:val="0"/>
              <w:spacing w:after="0"/>
              <w:rPr>
                <w:rFonts w:hint="eastAsia" w:cs="Times New Roman"/>
                <w:b w:val="0"/>
                <w:bCs/>
                <w:color w:val="000000" w:themeColor="text1"/>
                <w:kern w:val="0"/>
                <w:sz w:val="24"/>
                <w:szCs w:val="24"/>
                <w:lang w:val="en-US" w:eastAsia="zh-CN" w:bidi="ar-SA"/>
                <w14:textFill>
                  <w14:solidFill>
                    <w14:schemeClr w14:val="tx1"/>
                  </w14:solidFill>
                </w14:textFill>
              </w:rPr>
            </w:pPr>
            <w:r>
              <w:rPr>
                <w:rFonts w:hint="eastAsia" w:cs="Times New Roman"/>
                <w:b w:val="0"/>
                <w:bCs/>
                <w:color w:val="000000" w:themeColor="text1"/>
                <w:kern w:val="0"/>
                <w:sz w:val="24"/>
                <w:szCs w:val="24"/>
                <w:lang w:val="en-US" w:eastAsia="zh-CN" w:bidi="ar-SA"/>
                <w14:textFill>
                  <w14:solidFill>
                    <w14:schemeClr w14:val="tx1"/>
                  </w14:solidFill>
                </w14:textFill>
              </w:rPr>
              <w:t>2024年中国境内私募股权投资基金市场：</w:t>
            </w:r>
          </w:p>
          <w:p w14:paraId="7D162333">
            <w:pPr>
              <w:pStyle w:val="2"/>
              <w:adjustRightInd w:val="0"/>
              <w:snapToGrid w:val="0"/>
              <w:spacing w:after="0"/>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pPr>
            <w:r>
              <w:rPr>
                <w:rFonts w:hint="eastAsia" w:cs="Times New Roman"/>
                <w:b w:val="0"/>
                <w:bCs/>
                <w:color w:val="000000" w:themeColor="text1"/>
                <w:kern w:val="0"/>
                <w:sz w:val="24"/>
                <w:szCs w:val="24"/>
                <w:lang w:val="en-US" w:eastAsia="zh-CN" w:bidi="ar-SA"/>
                <w14:textFill>
                  <w14:solidFill>
                    <w14:schemeClr w14:val="tx1"/>
                  </w14:solidFill>
                </w14:textFill>
              </w:rPr>
              <w:t>中信私募：0-5%，东莞金控：0-5%，各方合计：0-5%</w:t>
            </w:r>
          </w:p>
        </w:tc>
      </w:tr>
    </w:tbl>
    <w:p w14:paraId="0B3D79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928C4"/>
    <w:rsid w:val="5379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2025-09-11T08:03:00Z</dcterms:created>
  <dc:creator>胡翌婧</dc:creator>
  <cp:lastModifiedBy>胡翌婧</cp:lastModifiedBy>
  <dcterms:modified xsi:type="dcterms:W3CDTF">2025-09-11T08:03:22Z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E1B661E3ADE14477B8EFBC5D4382251C_11</vt:lpwstr>
  </property>
  <property fmtid="{D5CDD505-2E9C-101B-9397-08002B2CF9AE}" pid="4" name="KSOTemplateDocerSaveRecord">
    <vt:lpwstr>eyJoZGlkIjoiODNjM2VkZWUwYjdkZDYzZGY2NmZiZGNiZGIyMjFjYWIiLCJ1c2VySWQiOiIyNDQ2MzYxMzgifQ==</vt:lpwstr>
  </property>
</Properties>
</file>