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06EF0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  <w:t>经营者集中简易案件公示表</w:t>
      </w:r>
    </w:p>
    <w:bookmarkEnd w:id="0"/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76"/>
        <w:gridCol w:w="6224"/>
      </w:tblGrid>
      <w:tr w14:paraId="18FA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29CC24AB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211644E8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中海油电力投资有限公司收购佛山三水佛燃热电有限公司股权案</w:t>
            </w:r>
          </w:p>
        </w:tc>
      </w:tr>
      <w:tr w14:paraId="13F9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3E89E239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09CB0EEC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海油电力投资有限公司（“海油电投”）与佛山三水佛燃热电有限公司（“目标公司”）、佛山综合能源（公控）有限公司（“综合能源”）签署交易协议，根据交易协议，海油电投拟向目标公司增资入股从而获得目标公司51%的股权以及共同控制权。目标公司主要从事天然气发电和热力生产与供应业务。交易前，综合能源持有目标公司100%股权，目标公司由综合能源单独控制。交易后，海油电投和综合能源将分别持有目标公司51%和49%的股权，目标公司将由海油电投和综合能源共同控制。</w:t>
            </w:r>
          </w:p>
        </w:tc>
      </w:tr>
      <w:tr w14:paraId="3953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DAABC05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参与集中的经营者简介（每个限100字内）</w:t>
            </w:r>
          </w:p>
        </w:tc>
        <w:tc>
          <w:tcPr>
            <w:tcW w:w="1476" w:type="dxa"/>
            <w:vAlign w:val="center"/>
          </w:tcPr>
          <w:p w14:paraId="2C5E5069">
            <w:pPr>
              <w:pStyle w:val="2"/>
              <w:widowControl/>
              <w:adjustRightInd w:val="0"/>
              <w:snapToGrid w:val="0"/>
              <w:spacing w:after="0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海油电投</w:t>
            </w:r>
          </w:p>
        </w:tc>
        <w:tc>
          <w:tcPr>
            <w:tcW w:w="6224" w:type="dxa"/>
            <w:vAlign w:val="center"/>
          </w:tcPr>
          <w:p w14:paraId="5EAE18CE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海油电投于2020年12月17日成立于广东省中山市。海油电投主要从事天然气发电、电力投资、购售电、碳交易等业务。</w:t>
            </w:r>
          </w:p>
          <w:p w14:paraId="512CC88A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海油电投最终控制人为中国海洋石油集团有限公司（“中国海油”），中国海油是一家中国海上油气生产运营商。</w:t>
            </w:r>
          </w:p>
        </w:tc>
      </w:tr>
      <w:tr w14:paraId="6AD8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85718BE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2AF6C448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cs="Times New Roman"/>
                <w:bCs/>
                <w:color w:val="000000"/>
                <w:sz w:val="24"/>
                <w:lang w:val="en-US" w:eastAsia="zh-CN"/>
              </w:rPr>
              <w:t>综合能源</w:t>
            </w:r>
          </w:p>
        </w:tc>
        <w:tc>
          <w:tcPr>
            <w:tcW w:w="6224" w:type="dxa"/>
            <w:vAlign w:val="center"/>
          </w:tcPr>
          <w:p w14:paraId="22591AF5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综合能源于2013年3月29日成立于广东省佛山市，综合能源主要从事天然气供热、热电联产等天然气发电相关业务，提供热、电、冷等一体化能源供应服务。</w:t>
            </w:r>
          </w:p>
          <w:p w14:paraId="7FB099AA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综合能源最终控制人为佛山市投资控股集团有限公司（“佛控集团”），佛控集团主要从事公用事业的投资、建设和运营以及高新技术、基础设施、新兴产业、高端服务业等其他项目的投资和管理。</w:t>
            </w:r>
          </w:p>
        </w:tc>
      </w:tr>
      <w:tr w14:paraId="5D92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12683E2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76BD8DD4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1、在同一相关市场，所有参与集中的经营者所占市场份额之和小于15%。</w:t>
            </w:r>
          </w:p>
        </w:tc>
      </w:tr>
      <w:tr w14:paraId="20BB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537F0D73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BECB6D1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2、存在上下游关系的参与集中的经营者，在上下游市场所占的市场份额均小于25%。</w:t>
            </w:r>
          </w:p>
        </w:tc>
      </w:tr>
      <w:tr w14:paraId="48C6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25B13B83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5944241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14:paraId="1C70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2A9FDCE7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943593E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17ED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047447D3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C2DCFC1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7496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5BCF9739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F71A132"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2353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21729772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1C8B721E">
            <w:pPr>
              <w:pStyle w:val="2"/>
              <w:adjustRightInd w:val="0"/>
              <w:snapToGrid w:val="0"/>
              <w:spacing w:after="0"/>
              <w:rPr>
                <w:rFonts w:hint="eastAsia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横向重叠：</w:t>
            </w:r>
          </w:p>
          <w:tbl>
            <w:tblPr>
              <w:tblStyle w:val="3"/>
              <w:tblW w:w="7236" w:type="dxa"/>
              <w:tblInd w:w="-5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521"/>
              <w:gridCol w:w="1669"/>
              <w:gridCol w:w="3046"/>
            </w:tblGrid>
            <w:tr w14:paraId="77C0BE9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5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264E70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</w:pPr>
                  <w:r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  <w:t>相关商品市场</w:t>
                  </w:r>
                </w:p>
              </w:tc>
              <w:tc>
                <w:tcPr>
                  <w:tcW w:w="1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0E5A3C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</w:pPr>
                  <w:r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  <w:t>相关地域市场</w:t>
                  </w:r>
                </w:p>
              </w:tc>
              <w:tc>
                <w:tcPr>
                  <w:tcW w:w="30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F02D53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</w:pPr>
                  <w:r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  <w:t>202</w:t>
                  </w:r>
                  <w:r>
                    <w:rPr>
                      <w:rFonts w:hint="eastAsia" w:cs="Times New Roman"/>
                      <w:b w:val="0"/>
                      <w:bCs w:val="0"/>
                      <w:sz w:val="24"/>
                      <w:lang w:val="en-US" w:eastAsia="zh-CN" w:bidi="ar"/>
                    </w:rPr>
                    <w:t>4</w:t>
                  </w:r>
                  <w:r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  <w:t>年市场份额</w:t>
                  </w:r>
                </w:p>
              </w:tc>
            </w:tr>
            <w:tr w14:paraId="552669C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5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DD4F96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default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天然气发电市场</w:t>
                  </w:r>
                </w:p>
              </w:tc>
              <w:tc>
                <w:tcPr>
                  <w:tcW w:w="1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76B41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中国境内</w:t>
                  </w:r>
                </w:p>
              </w:tc>
              <w:tc>
                <w:tcPr>
                  <w:tcW w:w="30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B44666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海油电投：0-5%</w:t>
                  </w:r>
                </w:p>
                <w:p w14:paraId="7F3E999A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佛控集团：0-5%</w:t>
                  </w:r>
                </w:p>
                <w:p w14:paraId="252588ED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目标公司：0-5%</w:t>
                  </w:r>
                </w:p>
                <w:p w14:paraId="46BE84B7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default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各方合计：5-10%</w:t>
                  </w:r>
                </w:p>
              </w:tc>
            </w:tr>
            <w:tr w14:paraId="1B800B1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5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56132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热力生产和供应市场</w:t>
                  </w:r>
                </w:p>
              </w:tc>
              <w:tc>
                <w:tcPr>
                  <w:tcW w:w="1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9E2A9D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中国境内</w:t>
                  </w:r>
                </w:p>
              </w:tc>
              <w:tc>
                <w:tcPr>
                  <w:tcW w:w="30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D5DE43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海油电投：0-5%</w:t>
                  </w:r>
                </w:p>
                <w:p w14:paraId="7A7BA9C5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佛控集团：0-5%</w:t>
                  </w:r>
                </w:p>
                <w:p w14:paraId="6BA9E4BF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目标公司：0-5%</w:t>
                  </w:r>
                </w:p>
                <w:p w14:paraId="2B1BC46C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各方合计：0-5%</w:t>
                  </w:r>
                </w:p>
              </w:tc>
            </w:tr>
            <w:tr w14:paraId="1527D55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5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74F9C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电力销售市场</w:t>
                  </w:r>
                </w:p>
              </w:tc>
              <w:tc>
                <w:tcPr>
                  <w:tcW w:w="1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50EBD8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广东省</w:t>
                  </w:r>
                </w:p>
              </w:tc>
              <w:tc>
                <w:tcPr>
                  <w:tcW w:w="30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711153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海油电投：0-5%</w:t>
                  </w:r>
                </w:p>
                <w:p w14:paraId="3E1F981F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佛控集团：0-5%</w:t>
                  </w:r>
                </w:p>
                <w:p w14:paraId="33202406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各方合计：0-5%</w:t>
                  </w:r>
                </w:p>
              </w:tc>
            </w:tr>
          </w:tbl>
          <w:p w14:paraId="1CC336F0">
            <w:pPr>
              <w:pStyle w:val="2"/>
              <w:adjustRightInd w:val="0"/>
              <w:snapToGrid w:val="0"/>
              <w:spacing w:after="0"/>
              <w:rPr>
                <w:rFonts w:hint="eastAsia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FF3C1B1">
            <w:pPr>
              <w:pStyle w:val="2"/>
              <w:adjustRightInd w:val="0"/>
              <w:snapToGrid w:val="0"/>
              <w:spacing w:after="0"/>
              <w:rPr>
                <w:rFonts w:hint="eastAsia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纵向关联：</w:t>
            </w:r>
          </w:p>
          <w:tbl>
            <w:tblPr>
              <w:tblStyle w:val="3"/>
              <w:tblW w:w="7236" w:type="dxa"/>
              <w:tblInd w:w="-5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521"/>
              <w:gridCol w:w="1802"/>
              <w:gridCol w:w="2913"/>
            </w:tblGrid>
            <w:tr w14:paraId="481DED2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5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73D296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</w:pPr>
                  <w:r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  <w:t>相关商品市场</w:t>
                  </w:r>
                </w:p>
              </w:tc>
              <w:tc>
                <w:tcPr>
                  <w:tcW w:w="1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42DA76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</w:pPr>
                  <w:r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  <w:t>相关地域市场</w:t>
                  </w:r>
                </w:p>
              </w:tc>
              <w:tc>
                <w:tcPr>
                  <w:tcW w:w="29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3069E0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</w:pPr>
                  <w:r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  <w:t>202</w:t>
                  </w:r>
                  <w:r>
                    <w:rPr>
                      <w:rFonts w:hint="eastAsia" w:cs="Times New Roman"/>
                      <w:b w:val="0"/>
                      <w:bCs w:val="0"/>
                      <w:sz w:val="24"/>
                      <w:lang w:val="en-US" w:eastAsia="zh-CN" w:bidi="ar"/>
                    </w:rPr>
                    <w:t>4</w:t>
                  </w:r>
                  <w:r>
                    <w:rPr>
                      <w:rFonts w:hint="default" w:cs="Times New Roman"/>
                      <w:b w:val="0"/>
                      <w:bCs w:val="0"/>
                      <w:sz w:val="24"/>
                      <w:lang w:val="en-US" w:eastAsia="zh-CN" w:bidi="ar"/>
                    </w:rPr>
                    <w:t>年市场份额</w:t>
                  </w:r>
                </w:p>
              </w:tc>
            </w:tr>
            <w:tr w14:paraId="0A9D93D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5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A860EF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上游：天然气批发供应市场</w:t>
                  </w:r>
                </w:p>
                <w:p w14:paraId="3FA0C32B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5ED295E9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default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下游：天然气发电市场</w:t>
                  </w:r>
                </w:p>
              </w:tc>
              <w:tc>
                <w:tcPr>
                  <w:tcW w:w="1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3F7B7460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both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上游：中国境内</w:t>
                  </w:r>
                </w:p>
                <w:p w14:paraId="01CA57E9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both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26564FCB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both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下游：中国境内</w:t>
                  </w:r>
                </w:p>
              </w:tc>
              <w:tc>
                <w:tcPr>
                  <w:tcW w:w="29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AA2506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上游：中国境内天然气批发供应市场</w:t>
                  </w:r>
                </w:p>
                <w:p w14:paraId="09EE3DFD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海油电投：15-20%</w:t>
                  </w:r>
                </w:p>
                <w:p w14:paraId="28CAA085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7DF1105C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下游：中国境内天然气发电市场</w:t>
                  </w:r>
                </w:p>
                <w:p w14:paraId="4BBCD8CE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default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如上所述</w:t>
                  </w:r>
                </w:p>
              </w:tc>
            </w:tr>
            <w:tr w14:paraId="5C255F6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5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2D025C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上游：天然气批发供应市场</w:t>
                  </w:r>
                </w:p>
                <w:p w14:paraId="02D8EE5B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4E01AB48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下游：热力生产和供应市场</w:t>
                  </w:r>
                </w:p>
              </w:tc>
              <w:tc>
                <w:tcPr>
                  <w:tcW w:w="1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10913C09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both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上游：中国境内</w:t>
                  </w:r>
                </w:p>
                <w:p w14:paraId="04E56ACB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both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5408993E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both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下游：中国境内</w:t>
                  </w:r>
                </w:p>
              </w:tc>
              <w:tc>
                <w:tcPr>
                  <w:tcW w:w="29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21E8FF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上游：中国境内天然气批发供应市场</w:t>
                  </w:r>
                </w:p>
                <w:p w14:paraId="62B9C5FE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如上所述</w:t>
                  </w:r>
                </w:p>
                <w:p w14:paraId="0DB2DC4B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3ABABC31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下游：中国境内热力生产和供应市场</w:t>
                  </w:r>
                </w:p>
                <w:p w14:paraId="1BE86010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如上所述</w:t>
                  </w:r>
                </w:p>
              </w:tc>
            </w:tr>
            <w:tr w14:paraId="70DA9BC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5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C5F910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上游：天然气发电市场</w:t>
                  </w:r>
                </w:p>
                <w:p w14:paraId="77C702F6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66938901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下游：电力销售市场</w:t>
                  </w:r>
                </w:p>
              </w:tc>
              <w:tc>
                <w:tcPr>
                  <w:tcW w:w="1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0FC98D84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both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上游：中国境内</w:t>
                  </w:r>
                </w:p>
                <w:p w14:paraId="547641C2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both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5B97AADC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both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下游：广东省、浙江省、山东省、海南省、河北省（冀北区域）</w:t>
                  </w:r>
                </w:p>
              </w:tc>
              <w:tc>
                <w:tcPr>
                  <w:tcW w:w="29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000C99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上游：中国境内天然气发电市场</w:t>
                  </w:r>
                </w:p>
                <w:p w14:paraId="7EB97369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如上所述</w:t>
                  </w:r>
                </w:p>
                <w:p w14:paraId="61074486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0E53D2D0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下游：</w:t>
                  </w:r>
                </w:p>
                <w:p w14:paraId="6C4B1D64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广东省电力销售市场</w:t>
                  </w:r>
                </w:p>
                <w:p w14:paraId="7E7A1947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如上所述</w:t>
                  </w:r>
                </w:p>
                <w:p w14:paraId="0F6B2816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519E4B56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浙江省电力销售市场</w:t>
                  </w:r>
                </w:p>
                <w:p w14:paraId="37A1B145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海油电投：0-5%</w:t>
                  </w:r>
                </w:p>
                <w:p w14:paraId="0010CA95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3A1475A1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山东省电力销售市场</w:t>
                  </w:r>
                </w:p>
                <w:p w14:paraId="4B3B50EF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海油电投：0-5%</w:t>
                  </w:r>
                </w:p>
                <w:p w14:paraId="7404A921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0000F0A5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海南省电力销售市场</w:t>
                  </w:r>
                </w:p>
                <w:p w14:paraId="6BA7FC48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海油电投：5-10%</w:t>
                  </w:r>
                </w:p>
                <w:p w14:paraId="102E0937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</w:p>
                <w:p w14:paraId="64906D32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河北省（冀北区域）电力销售市场</w:t>
                  </w:r>
                </w:p>
                <w:p w14:paraId="2CDDB680">
                  <w:pPr>
                    <w:pStyle w:val="2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cs="Times New Roman"/>
                      <w:bCs w:val="0"/>
                      <w:color w:val="auto"/>
                      <w:sz w:val="24"/>
                      <w:lang w:val="en-US" w:eastAsia="zh-CN" w:bidi="ar"/>
                    </w:rPr>
                    <w:t>海油电投：0-5%</w:t>
                  </w:r>
                </w:p>
              </w:tc>
            </w:tr>
          </w:tbl>
          <w:p w14:paraId="3B8FF894">
            <w:pPr>
              <w:pStyle w:val="2"/>
              <w:adjustRightInd w:val="0"/>
              <w:snapToGrid w:val="0"/>
              <w:spacing w:after="0"/>
              <w:rPr>
                <w:rFonts w:hint="default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2CA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Theme="minorEastAsia"/>
        </w:rPr>
      </w:pPr>
    </w:p>
    <w:p w14:paraId="6D2D3F1C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51259"/>
    <w:rsid w:val="1975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2025-09-23T02:22:00Z</dcterms:created>
  <dc:creator>胡翌婧</dc:creator>
  <cp:lastModifiedBy>胡翌婧</cp:lastModifiedBy>
  <dcterms:modified xsi:type="dcterms:W3CDTF">2025-09-23T02:22:16Z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0EAAFD145B834342A57C4C3C91B2551E_11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