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81A5F">
      <w:pPr>
        <w:keepNext w:val="0"/>
        <w:keepLines w:val="0"/>
        <w:widowControl/>
        <w:suppressLineNumbers w:val="0"/>
        <w:spacing w:before="0" w:beforeAutospacing="0" w:after="240" w:afterAutospacing="0"/>
        <w:ind w:left="0" w:right="0"/>
        <w:jc w:val="center"/>
        <w:rPr>
          <w:rFonts w:hint="eastAsia" w:ascii="方正小标宋简体" w:hAnsi="方正小标宋简体" w:eastAsia="方正小标宋简体" w:cs="方正小标宋简体"/>
          <w:kern w:val="0"/>
          <w:sz w:val="44"/>
          <w:szCs w:val="44"/>
          <w:lang w:val="en-GB" w:eastAsia="zh-CN" w:bidi="ar"/>
        </w:rPr>
      </w:pPr>
      <w:bookmarkStart w:id="0" w:name="_GoBack"/>
      <w:r>
        <w:rPr>
          <w:rFonts w:hint="eastAsia" w:ascii="方正小标宋简体" w:hAnsi="方正小标宋简体" w:eastAsia="方正小标宋简体" w:cs="方正小标宋简体"/>
          <w:kern w:val="0"/>
          <w:sz w:val="44"/>
          <w:szCs w:val="44"/>
          <w:lang w:val="en-GB" w:eastAsia="zh-CN" w:bidi="ar"/>
        </w:rPr>
        <w:t>经营者集中简易案件公示表</w:t>
      </w:r>
    </w:p>
    <w:bookmarkEnd w:id="0"/>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476"/>
        <w:gridCol w:w="6224"/>
      </w:tblGrid>
      <w:tr w14:paraId="359B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940" w:type="dxa"/>
            <w:shd w:val="clear" w:color="auto" w:fill="auto"/>
            <w:vAlign w:val="center"/>
          </w:tcPr>
          <w:p w14:paraId="2219E3D8">
            <w:pPr>
              <w:pStyle w:val="3"/>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案件名称</w:t>
            </w:r>
          </w:p>
        </w:tc>
        <w:tc>
          <w:tcPr>
            <w:tcW w:w="7700" w:type="dxa"/>
            <w:gridSpan w:val="2"/>
            <w:vAlign w:val="center"/>
          </w:tcPr>
          <w:p w14:paraId="44D0FBB2">
            <w:pPr>
              <w:widowControl/>
              <w:adjustRightInd w:val="0"/>
              <w:snapToGrid w:val="0"/>
              <w:rPr>
                <w:rFonts w:hint="default" w:ascii="Times New Roman" w:hAnsi="Times New Roman" w:cs="Times New Roman"/>
                <w:bCs/>
                <w:color w:val="000000"/>
                <w:sz w:val="24"/>
              </w:rPr>
            </w:pPr>
            <w:r>
              <w:rPr>
                <w:rFonts w:hint="default" w:ascii="Times New Roman" w:hAnsi="Times New Roman" w:cs="Times New Roman"/>
                <w:sz w:val="24"/>
              </w:rPr>
              <w:t>戴姆勒卡车股份有限公司与丰田汽车株式会社新设合营企业案</w:t>
            </w:r>
          </w:p>
        </w:tc>
      </w:tr>
      <w:tr w14:paraId="074E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940" w:type="dxa"/>
            <w:shd w:val="clear" w:color="auto" w:fill="auto"/>
            <w:vAlign w:val="center"/>
          </w:tcPr>
          <w:p w14:paraId="5DF55BBA">
            <w:pPr>
              <w:pStyle w:val="3"/>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交易概况（限200字内）</w:t>
            </w:r>
          </w:p>
        </w:tc>
        <w:tc>
          <w:tcPr>
            <w:tcW w:w="7700" w:type="dxa"/>
            <w:gridSpan w:val="2"/>
            <w:vAlign w:val="center"/>
          </w:tcPr>
          <w:p w14:paraId="6981C101">
            <w:pPr>
              <w:widowControl/>
              <w:adjustRightInd w:val="0"/>
              <w:snapToGrid w:val="0"/>
              <w:rPr>
                <w:rFonts w:hint="default" w:ascii="Times New Roman" w:hAnsi="Times New Roman" w:cs="Times New Roman"/>
                <w:sz w:val="24"/>
              </w:rPr>
            </w:pPr>
            <w:r>
              <w:rPr>
                <w:rFonts w:hint="default" w:ascii="Times New Roman" w:hAnsi="Times New Roman" w:cs="Times New Roman"/>
                <w:sz w:val="24"/>
              </w:rPr>
              <w:t>戴姆勒卡车股份有限公司（“</w:t>
            </w:r>
            <w:r>
              <w:rPr>
                <w:rFonts w:hint="default" w:ascii="Times New Roman" w:hAnsi="Times New Roman" w:cs="Times New Roman"/>
                <w:b/>
                <w:bCs/>
                <w:sz w:val="24"/>
              </w:rPr>
              <w:t>戴姆勒卡车</w:t>
            </w:r>
            <w:r>
              <w:rPr>
                <w:rFonts w:hint="default" w:ascii="Times New Roman" w:hAnsi="Times New Roman" w:cs="Times New Roman"/>
                <w:sz w:val="24"/>
              </w:rPr>
              <w:t>”）、三菱扶桑卡客车株式会社（“</w:t>
            </w:r>
            <w:r>
              <w:rPr>
                <w:rFonts w:hint="default" w:ascii="Times New Roman" w:hAnsi="Times New Roman" w:cs="Times New Roman"/>
                <w:b/>
                <w:bCs/>
                <w:sz w:val="24"/>
              </w:rPr>
              <w:t>三菱扶桑</w:t>
            </w:r>
            <w:r>
              <w:rPr>
                <w:rFonts w:hint="default" w:ascii="Times New Roman" w:hAnsi="Times New Roman" w:cs="Times New Roman"/>
                <w:sz w:val="24"/>
              </w:rPr>
              <w:t>”）、日野自动车株式会社（“</w:t>
            </w:r>
            <w:r>
              <w:rPr>
                <w:rFonts w:hint="default" w:ascii="Times New Roman" w:hAnsi="Times New Roman" w:cs="Times New Roman"/>
                <w:b/>
                <w:bCs/>
                <w:sz w:val="24"/>
              </w:rPr>
              <w:t>日野自动车</w:t>
            </w:r>
            <w:r>
              <w:rPr>
                <w:rFonts w:hint="default" w:ascii="Times New Roman" w:hAnsi="Times New Roman" w:cs="Times New Roman"/>
                <w:sz w:val="24"/>
              </w:rPr>
              <w:t>”）和丰田汽车株式会社（“</w:t>
            </w:r>
            <w:r>
              <w:rPr>
                <w:rFonts w:hint="default" w:ascii="Times New Roman" w:hAnsi="Times New Roman" w:cs="Times New Roman"/>
                <w:b/>
                <w:bCs/>
                <w:sz w:val="24"/>
              </w:rPr>
              <w:t>丰田汽车</w:t>
            </w:r>
            <w:r>
              <w:rPr>
                <w:rFonts w:hint="default" w:ascii="Times New Roman" w:hAnsi="Times New Roman" w:cs="Times New Roman"/>
                <w:sz w:val="24"/>
              </w:rPr>
              <w:t>”）签署协议，丰田汽车和戴姆勒卡车拟通过设立合营企业收购三菱扶桑和日野自动车全部股权。合营企业将通过子公司三菱扶桑和日野自动车开展商用车、工业发动机等的制造和供应业务。</w:t>
            </w:r>
          </w:p>
          <w:p w14:paraId="0F31EC46">
            <w:pPr>
              <w:widowControl/>
              <w:adjustRightInd w:val="0"/>
              <w:snapToGrid w:val="0"/>
              <w:rPr>
                <w:rFonts w:hint="default" w:ascii="Times New Roman" w:hAnsi="Times New Roman" w:cs="Times New Roman"/>
                <w:sz w:val="24"/>
              </w:rPr>
            </w:pPr>
            <w:r>
              <w:rPr>
                <w:rFonts w:hint="default" w:ascii="Times New Roman" w:hAnsi="Times New Roman" w:cs="Times New Roman"/>
                <w:sz w:val="24"/>
              </w:rPr>
              <w:t>交易前，戴姆勒卡车持有三菱扶桑89.29%的股份，单独控制三菱扶桑；丰田汽车持有日野自动车50.14%的股份，单独控制日野自动车。交易后，</w:t>
            </w:r>
            <w:r>
              <w:rPr>
                <w:rFonts w:hint="eastAsia" w:cs="Times New Roman"/>
                <w:sz w:val="24"/>
                <w:lang w:eastAsia="zh-CN"/>
              </w:rPr>
              <w:t>合营企业将上市，</w:t>
            </w:r>
            <w:r>
              <w:rPr>
                <w:rFonts w:hint="default" w:ascii="Times New Roman" w:hAnsi="Times New Roman" w:cs="Times New Roman"/>
                <w:sz w:val="24"/>
              </w:rPr>
              <w:t>戴姆勒卡车、丰田汽车将在合营企业</w:t>
            </w:r>
            <w:r>
              <w:rPr>
                <w:rFonts w:hint="eastAsia" w:cs="Times New Roman"/>
                <w:sz w:val="24"/>
                <w:lang w:eastAsia="zh-CN"/>
              </w:rPr>
              <w:t>上市且双方股份减持至</w:t>
            </w:r>
            <w:r>
              <w:rPr>
                <w:rFonts w:hint="eastAsia" w:cs="Times New Roman"/>
                <w:sz w:val="24"/>
                <w:lang w:val="en-US" w:eastAsia="zh-CN"/>
              </w:rPr>
              <w:t>25%</w:t>
            </w:r>
            <w:r>
              <w:rPr>
                <w:rFonts w:hint="default" w:ascii="Times New Roman" w:hAnsi="Times New Roman" w:cs="Times New Roman"/>
                <w:sz w:val="24"/>
              </w:rPr>
              <w:t>之前共同控制合营企业，并通过合营企业共同控制日野自动车和三菱扶桑。</w:t>
            </w:r>
          </w:p>
        </w:tc>
      </w:tr>
      <w:tr w14:paraId="2DAE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40" w:type="dxa"/>
            <w:vMerge w:val="restart"/>
            <w:shd w:val="clear" w:color="auto" w:fill="auto"/>
            <w:vAlign w:val="center"/>
          </w:tcPr>
          <w:p w14:paraId="42DD0CCF">
            <w:pPr>
              <w:pStyle w:val="3"/>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参与集中的经营者简介（每个限100字内）</w:t>
            </w:r>
          </w:p>
        </w:tc>
        <w:tc>
          <w:tcPr>
            <w:tcW w:w="1476" w:type="dxa"/>
            <w:vAlign w:val="center"/>
          </w:tcPr>
          <w:p w14:paraId="38DE468B">
            <w:pPr>
              <w:pStyle w:val="3"/>
              <w:widowControl/>
              <w:adjustRightInd w:val="0"/>
              <w:snapToGrid w:val="0"/>
              <w:spacing w:after="0"/>
              <w:rPr>
                <w:rFonts w:hint="default" w:ascii="Times New Roman" w:hAnsi="Times New Roman" w:eastAsia="宋体" w:cs="Times New Roman"/>
                <w:bCs/>
                <w:color w:val="000000"/>
                <w:sz w:val="24"/>
                <w:lang w:val="en-US" w:eastAsia="zh-CN"/>
              </w:rPr>
            </w:pPr>
            <w:r>
              <w:rPr>
                <w:rFonts w:hint="default" w:ascii="Times New Roman" w:hAnsi="Times New Roman" w:cs="Times New Roman"/>
                <w:bCs/>
                <w:color w:val="000000"/>
                <w:sz w:val="24"/>
                <w:lang w:val="en-US" w:eastAsia="zh-CN"/>
              </w:rPr>
              <w:t>1</w:t>
            </w:r>
            <w:r>
              <w:rPr>
                <w:rFonts w:hint="default" w:ascii="Times New Roman" w:hAnsi="Times New Roman" w:cs="Times New Roman"/>
                <w:bCs/>
                <w:color w:val="000000"/>
                <w:sz w:val="24"/>
              </w:rPr>
              <w:t>.</w:t>
            </w:r>
            <w:r>
              <w:rPr>
                <w:rFonts w:hint="eastAsia" w:cs="Times New Roman"/>
                <w:bCs/>
                <w:color w:val="000000"/>
                <w:sz w:val="24"/>
                <w:lang w:val="en-US" w:eastAsia="zh-CN"/>
              </w:rPr>
              <w:t>戴姆勒卡车</w:t>
            </w:r>
          </w:p>
        </w:tc>
        <w:tc>
          <w:tcPr>
            <w:tcW w:w="6224" w:type="dxa"/>
            <w:vAlign w:val="center"/>
          </w:tcPr>
          <w:p w14:paraId="59F436D2">
            <w:pPr>
              <w:pStyle w:val="3"/>
              <w:widowControl/>
              <w:adjustRightInd w:val="0"/>
              <w:snapToGrid w:val="0"/>
              <w:spacing w:after="0"/>
              <w:rPr>
                <w:rFonts w:hint="default" w:ascii="Times New Roman" w:hAnsi="Times New Roman" w:cs="Times New Roman"/>
                <w:sz w:val="24"/>
              </w:rPr>
            </w:pPr>
            <w:r>
              <w:rPr>
                <w:rFonts w:hint="default" w:ascii="Times New Roman" w:hAnsi="Times New Roman" w:cs="Times New Roman"/>
                <w:sz w:val="24"/>
              </w:rPr>
              <w:t>戴姆勒卡车于2017年11月7日成立于德国，主要业务为制造轻型、中型和重型货车、城市及城际客车、长途客车、工业发动机以及提供部分金融服务。</w:t>
            </w:r>
          </w:p>
          <w:p w14:paraId="452DE965">
            <w:pPr>
              <w:pStyle w:val="3"/>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sz w:val="24"/>
              </w:rPr>
              <w:t>戴姆勒卡车最终控制人为戴姆勒卡车控股公司，主要通过戴姆勒卡车开展业务。</w:t>
            </w:r>
          </w:p>
        </w:tc>
      </w:tr>
      <w:tr w14:paraId="0910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40" w:type="dxa"/>
            <w:vMerge w:val="continue"/>
            <w:shd w:val="clear" w:color="auto" w:fill="auto"/>
            <w:vAlign w:val="center"/>
          </w:tcPr>
          <w:p w14:paraId="5647B483">
            <w:pPr>
              <w:pStyle w:val="3"/>
              <w:widowControl/>
              <w:adjustRightInd w:val="0"/>
              <w:snapToGrid w:val="0"/>
              <w:spacing w:after="0"/>
              <w:jc w:val="center"/>
              <w:rPr>
                <w:rFonts w:hint="default" w:ascii="Times New Roman" w:hAnsi="Times New Roman" w:cs="Times New Roman"/>
                <w:bCs/>
                <w:color w:val="000000"/>
                <w:sz w:val="24"/>
              </w:rPr>
            </w:pPr>
          </w:p>
        </w:tc>
        <w:tc>
          <w:tcPr>
            <w:tcW w:w="1476" w:type="dxa"/>
            <w:vAlign w:val="center"/>
          </w:tcPr>
          <w:p w14:paraId="4659B0E7">
            <w:pPr>
              <w:pStyle w:val="3"/>
              <w:widowControl/>
              <w:adjustRightInd w:val="0"/>
              <w:snapToGrid w:val="0"/>
              <w:spacing w:after="0"/>
              <w:rPr>
                <w:rFonts w:hint="default" w:ascii="Times New Roman" w:hAnsi="Times New Roman" w:cs="Times New Roman"/>
                <w:bCs/>
                <w:color w:val="000000"/>
                <w:sz w:val="24"/>
                <w:lang w:val="en-US" w:eastAsia="zh-CN"/>
              </w:rPr>
            </w:pPr>
            <w:r>
              <w:rPr>
                <w:rFonts w:hint="default" w:ascii="Times New Roman" w:hAnsi="Times New Roman" w:cs="Times New Roman"/>
                <w:bCs/>
                <w:color w:val="000000"/>
                <w:sz w:val="24"/>
                <w:lang w:val="en-US" w:eastAsia="zh-CN"/>
              </w:rPr>
              <w:t>2.</w:t>
            </w:r>
            <w:r>
              <w:rPr>
                <w:rFonts w:hint="eastAsia" w:cs="Times New Roman"/>
                <w:bCs/>
                <w:color w:val="000000"/>
                <w:sz w:val="24"/>
                <w:lang w:val="en-US" w:eastAsia="zh-CN"/>
              </w:rPr>
              <w:t>丰田汽车</w:t>
            </w:r>
          </w:p>
        </w:tc>
        <w:tc>
          <w:tcPr>
            <w:tcW w:w="6224" w:type="dxa"/>
            <w:vAlign w:val="center"/>
          </w:tcPr>
          <w:p w14:paraId="1D9EF5F3">
            <w:pPr>
              <w:pStyle w:val="3"/>
              <w:widowControl/>
              <w:adjustRightInd w:val="0"/>
              <w:snapToGrid w:val="0"/>
              <w:spacing w:after="0"/>
              <w:rPr>
                <w:rFonts w:hint="default" w:ascii="Times New Roman" w:hAnsi="Times New Roman" w:cs="Times New Roman"/>
                <w:sz w:val="24"/>
              </w:rPr>
            </w:pPr>
            <w:r>
              <w:rPr>
                <w:rFonts w:hint="default" w:ascii="Times New Roman" w:hAnsi="Times New Roman" w:cs="Times New Roman"/>
                <w:sz w:val="24"/>
              </w:rPr>
              <w:t>丰田汽车于1937年8月27日成立于日本，为东京证券交易所、名古屋证券交易所、伦敦证券交易所和纽约证券交易所上市公司，主要从事汽车及零配件的设计、制造、组装和销售以及金融等业务。</w:t>
            </w:r>
          </w:p>
          <w:p w14:paraId="22E8739E">
            <w:pPr>
              <w:pStyle w:val="3"/>
              <w:widowControl/>
              <w:adjustRightInd w:val="0"/>
              <w:snapToGrid w:val="0"/>
              <w:spacing w:after="0"/>
              <w:rPr>
                <w:rFonts w:hint="default" w:ascii="Times New Roman" w:hAnsi="Times New Roman" w:cs="Times New Roman"/>
                <w:sz w:val="24"/>
              </w:rPr>
            </w:pPr>
            <w:r>
              <w:rPr>
                <w:rFonts w:hint="default" w:ascii="Times New Roman" w:hAnsi="Times New Roman" w:cs="Times New Roman"/>
                <w:sz w:val="24"/>
              </w:rPr>
              <w:t>丰田汽车无最终控制人。</w:t>
            </w:r>
          </w:p>
        </w:tc>
      </w:tr>
      <w:tr w14:paraId="5355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40" w:type="dxa"/>
            <w:vMerge w:val="restart"/>
            <w:shd w:val="clear" w:color="auto" w:fill="auto"/>
            <w:vAlign w:val="center"/>
          </w:tcPr>
          <w:p w14:paraId="5C5355D4">
            <w:pPr>
              <w:pStyle w:val="3"/>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简易案件理由（可以单选，也可以多选）</w:t>
            </w:r>
          </w:p>
        </w:tc>
        <w:tc>
          <w:tcPr>
            <w:tcW w:w="7700" w:type="dxa"/>
            <w:gridSpan w:val="2"/>
            <w:vAlign w:val="center"/>
          </w:tcPr>
          <w:p w14:paraId="5C2CEC32">
            <w:pPr>
              <w:pStyle w:val="3"/>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FE"/>
            </w:r>
            <w:r>
              <w:rPr>
                <w:rFonts w:hint="default" w:ascii="Times New Roman" w:hAnsi="Times New Roman" w:cs="Times New Roman"/>
                <w:bCs/>
                <w:color w:val="000000"/>
                <w:sz w:val="24"/>
              </w:rPr>
              <w:t xml:space="preserve"> 1、在同一相关市场，所有参与集中的经营者所占市场份额之和小于15%。</w:t>
            </w:r>
          </w:p>
        </w:tc>
      </w:tr>
      <w:tr w14:paraId="611D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40" w:type="dxa"/>
            <w:vMerge w:val="continue"/>
            <w:shd w:val="clear" w:color="auto" w:fill="auto"/>
            <w:vAlign w:val="center"/>
          </w:tcPr>
          <w:p w14:paraId="0C3B3DD9">
            <w:pPr>
              <w:pStyle w:val="3"/>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09A3587F">
            <w:pPr>
              <w:pStyle w:val="3"/>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2、存在上下游关系的参与集中的经营者，在上下游市场所占的市场份额均小于25%。</w:t>
            </w:r>
          </w:p>
        </w:tc>
      </w:tr>
      <w:tr w14:paraId="282D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0" w:type="dxa"/>
            <w:vMerge w:val="continue"/>
            <w:shd w:val="clear" w:color="auto" w:fill="auto"/>
            <w:vAlign w:val="center"/>
          </w:tcPr>
          <w:p w14:paraId="2D79D59A">
            <w:pPr>
              <w:pStyle w:val="3"/>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6A9094B2">
            <w:pPr>
              <w:pStyle w:val="3"/>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3、不在同一相关市场、也不存在上下游关系的参与集中的经营者，在与交易有关的每个市场所占的份额均小于25%。</w:t>
            </w:r>
          </w:p>
        </w:tc>
      </w:tr>
      <w:tr w14:paraId="4AE6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40" w:type="dxa"/>
            <w:vMerge w:val="continue"/>
            <w:shd w:val="clear" w:color="auto" w:fill="auto"/>
            <w:vAlign w:val="center"/>
          </w:tcPr>
          <w:p w14:paraId="1AE0A302">
            <w:pPr>
              <w:pStyle w:val="3"/>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4C4188CE">
            <w:pPr>
              <w:pStyle w:val="3"/>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4、参与集中的经营者在中国境外设立合营企业，合营企业不在中国境内从事经济活动。</w:t>
            </w:r>
          </w:p>
        </w:tc>
      </w:tr>
      <w:tr w14:paraId="35F1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40" w:type="dxa"/>
            <w:vMerge w:val="continue"/>
            <w:shd w:val="clear" w:color="auto" w:fill="auto"/>
            <w:vAlign w:val="center"/>
          </w:tcPr>
          <w:p w14:paraId="420A6F1F">
            <w:pPr>
              <w:pStyle w:val="3"/>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68CCA0AA">
            <w:pPr>
              <w:pStyle w:val="3"/>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5、参与集中的经营者收购境外企业股权或资产的，该境外企业不在中国境内从事经济活动。</w:t>
            </w:r>
          </w:p>
        </w:tc>
      </w:tr>
      <w:tr w14:paraId="29D4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40" w:type="dxa"/>
            <w:vMerge w:val="continue"/>
            <w:shd w:val="clear" w:color="auto" w:fill="auto"/>
            <w:vAlign w:val="center"/>
          </w:tcPr>
          <w:p w14:paraId="3C24339F">
            <w:pPr>
              <w:pStyle w:val="3"/>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1799D389">
            <w:pPr>
              <w:pStyle w:val="3"/>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6、由两个以上的经营者共同控制的合营企业，通过集中被其中一个或一个以上经营者控制。</w:t>
            </w:r>
          </w:p>
        </w:tc>
      </w:tr>
      <w:tr w14:paraId="165B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0" w:type="dxa"/>
            <w:shd w:val="clear" w:color="auto" w:fill="auto"/>
            <w:vAlign w:val="center"/>
          </w:tcPr>
          <w:p w14:paraId="5382A90A">
            <w:pPr>
              <w:pStyle w:val="3"/>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备注</w:t>
            </w:r>
          </w:p>
        </w:tc>
        <w:tc>
          <w:tcPr>
            <w:tcW w:w="7700" w:type="dxa"/>
            <w:gridSpan w:val="2"/>
            <w:vAlign w:val="center"/>
          </w:tcPr>
          <w:p w14:paraId="41C715FA">
            <w:pPr>
              <w:pStyle w:val="3"/>
              <w:adjustRightInd w:val="0"/>
              <w:snapToGrid w:val="0"/>
              <w:spacing w:after="0"/>
              <w:rPr>
                <w:rFonts w:hint="default" w:ascii="Times New Roman" w:hAnsi="Times New Roman" w:cs="Times New Roman"/>
                <w:b/>
                <w:bCs w:val="0"/>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b/>
                <w:bCs w:val="0"/>
                <w:color w:val="000000" w:themeColor="text1"/>
                <w:kern w:val="0"/>
                <w:sz w:val="24"/>
                <w:szCs w:val="24"/>
                <w:lang w:val="en-US" w:eastAsia="zh-CN" w:bidi="ar-SA"/>
                <w14:textFill>
                  <w14:solidFill>
                    <w14:schemeClr w14:val="tx1"/>
                  </w14:solidFill>
                </w14:textFill>
              </w:rPr>
              <w:t>横向重叠：</w:t>
            </w:r>
          </w:p>
          <w:p w14:paraId="30B6EDC0">
            <w:pPr>
              <w:pStyle w:val="3"/>
              <w:adjustRightInd w:val="0"/>
              <w:snapToGrid w:val="0"/>
              <w:spacing w:after="0"/>
              <w:rPr>
                <w:rFonts w:hint="eastAsia" w:cs="Times New Roman"/>
                <w:b w:val="0"/>
                <w:bCs/>
                <w:color w:val="000000" w:themeColor="text1"/>
                <w:kern w:val="0"/>
                <w:sz w:val="24"/>
                <w:szCs w:val="24"/>
                <w:lang w:val="en-US" w:eastAsia="zh-CN" w:bidi="ar-SA"/>
                <w14:textFill>
                  <w14:solidFill>
                    <w14:schemeClr w14:val="tx1"/>
                  </w14:solidFill>
                </w14:textFill>
              </w:rPr>
            </w:pPr>
            <w:r>
              <w:rPr>
                <w:rFonts w:hint="eastAsia" w:cs="Times New Roman"/>
                <w:b w:val="0"/>
                <w:bCs/>
                <w:color w:val="000000" w:themeColor="text1"/>
                <w:kern w:val="0"/>
                <w:sz w:val="24"/>
                <w:szCs w:val="24"/>
                <w:lang w:val="en-US" w:eastAsia="zh-CN" w:bidi="ar-SA"/>
                <w14:textFill>
                  <w14:solidFill>
                    <w14:schemeClr w14:val="tx1"/>
                  </w14:solidFill>
                </w14:textFill>
              </w:rPr>
              <w:t>2024年中国境内重型货车市场：</w:t>
            </w:r>
          </w:p>
          <w:p w14:paraId="1BDABDC0">
            <w:pPr>
              <w:pStyle w:val="3"/>
              <w:adjustRightInd w:val="0"/>
              <w:snapToGrid w:val="0"/>
              <w:spacing w:after="0"/>
              <w:rPr>
                <w:rFonts w:hint="eastAsia" w:cs="Times New Roman"/>
                <w:b w:val="0"/>
                <w:bCs/>
                <w:color w:val="000000" w:themeColor="text1"/>
                <w:kern w:val="0"/>
                <w:sz w:val="24"/>
                <w:szCs w:val="24"/>
                <w:lang w:val="en-US" w:eastAsia="zh-CN" w:bidi="ar-SA"/>
                <w14:textFill>
                  <w14:solidFill>
                    <w14:schemeClr w14:val="tx1"/>
                  </w14:solidFill>
                </w14:textFill>
              </w:rPr>
            </w:pPr>
            <w:r>
              <w:rPr>
                <w:rFonts w:hint="eastAsia" w:cs="Times New Roman"/>
                <w:b w:val="0"/>
                <w:bCs/>
                <w:color w:val="000000" w:themeColor="text1"/>
                <w:kern w:val="0"/>
                <w:sz w:val="24"/>
                <w:szCs w:val="24"/>
                <w:lang w:val="en-US" w:eastAsia="zh-CN" w:bidi="ar-SA"/>
                <w14:textFill>
                  <w14:solidFill>
                    <w14:schemeClr w14:val="tx1"/>
                  </w14:solidFill>
                </w14:textFill>
              </w:rPr>
              <w:t>戴姆勒卡车：0-5%，合营企业：0-5%，各方合计：0-5%</w:t>
            </w:r>
          </w:p>
          <w:p w14:paraId="7874DF9A">
            <w:pPr>
              <w:pStyle w:val="3"/>
              <w:adjustRightInd w:val="0"/>
              <w:snapToGrid w:val="0"/>
              <w:spacing w:after="0"/>
              <w:rPr>
                <w:rFonts w:hint="eastAsia" w:cs="Times New Roman"/>
                <w:b w:val="0"/>
                <w:bCs/>
                <w:color w:val="000000" w:themeColor="text1"/>
                <w:kern w:val="0"/>
                <w:sz w:val="24"/>
                <w:szCs w:val="24"/>
                <w:lang w:val="en-US" w:eastAsia="zh-CN" w:bidi="ar-SA"/>
                <w14:textFill>
                  <w14:solidFill>
                    <w14:schemeClr w14:val="tx1"/>
                  </w14:solidFill>
                </w14:textFill>
              </w:rPr>
            </w:pPr>
            <w:r>
              <w:rPr>
                <w:rFonts w:hint="eastAsia" w:cs="Times New Roman"/>
                <w:b w:val="0"/>
                <w:bCs/>
                <w:color w:val="000000" w:themeColor="text1"/>
                <w:kern w:val="0"/>
                <w:sz w:val="24"/>
                <w:szCs w:val="24"/>
                <w:lang w:val="en-US" w:eastAsia="zh-CN" w:bidi="ar-SA"/>
                <w14:textFill>
                  <w14:solidFill>
                    <w14:schemeClr w14:val="tx1"/>
                  </w14:solidFill>
                </w14:textFill>
              </w:rPr>
              <w:t>2024年中国境内非道路用柴油发动机市场：</w:t>
            </w:r>
          </w:p>
          <w:p w14:paraId="0DBD59AC">
            <w:pPr>
              <w:pStyle w:val="3"/>
              <w:adjustRightInd w:val="0"/>
              <w:snapToGrid w:val="0"/>
              <w:spacing w:after="0"/>
              <w:rPr>
                <w:rFonts w:hint="default" w:ascii="Times New Roman" w:hAnsi="Times New Roman" w:eastAsia="宋体" w:cs="Times New Roman"/>
                <w:b/>
                <w:color w:val="000000" w:themeColor="text1"/>
                <w:kern w:val="0"/>
                <w:sz w:val="24"/>
                <w:szCs w:val="24"/>
                <w:lang w:val="en-US" w:eastAsia="zh-CN" w:bidi="ar-SA"/>
                <w14:textFill>
                  <w14:solidFill>
                    <w14:schemeClr w14:val="tx1"/>
                  </w14:solidFill>
                </w14:textFill>
              </w:rPr>
            </w:pPr>
            <w:r>
              <w:rPr>
                <w:rFonts w:hint="eastAsia" w:cs="Times New Roman"/>
                <w:b w:val="0"/>
                <w:bCs/>
                <w:color w:val="000000" w:themeColor="text1"/>
                <w:kern w:val="0"/>
                <w:sz w:val="24"/>
                <w:szCs w:val="24"/>
                <w:lang w:val="en-US" w:eastAsia="zh-CN" w:bidi="ar-SA"/>
                <w14:textFill>
                  <w14:solidFill>
                    <w14:schemeClr w14:val="tx1"/>
                  </w14:solidFill>
                </w14:textFill>
              </w:rPr>
              <w:t>戴姆勒卡车：0-5%，合营企业：0-5%，各方合计：0-5%</w:t>
            </w:r>
          </w:p>
        </w:tc>
      </w:tr>
    </w:tbl>
    <w:p w14:paraId="35823D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D3D04"/>
    <w:rsid w:val="5A8D3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style>
  <w:style w:type="paragraph" w:styleId="3">
    <w:name w:val="Body Text"/>
    <w:basedOn w:val="1"/>
    <w:next w:val="4"/>
    <w:unhideWhenUsed/>
    <w:qFormat/>
    <w:uiPriority w:val="99"/>
    <w:pPr>
      <w:spacing w:after="120"/>
    </w:pPr>
  </w:style>
  <w:style w:type="paragraph" w:styleId="4">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2025-08-11T06:59:00Z</dcterms:created>
  <dc:creator>胡翌婧</dc:creator>
  <cp:lastModifiedBy>胡翌婧</cp:lastModifiedBy>
  <dcterms:modified xsi:type="dcterms:W3CDTF">2025-08-11T06:59:59Z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C711FCE2CD7A479C8391EA050219C47D_11</vt:lpwstr>
  </property>
  <property fmtid="{D5CDD505-2E9C-101B-9397-08002B2CF9AE}" pid="4" name="KSOTemplateDocerSaveRecord">
    <vt:lpwstr>eyJoZGlkIjoiODNjM2VkZWUwYjdkZDYzZGY2NmZiZGNiZGIyMjFjYWIiLCJ1c2VySWQiOiIyNDQ2MzYxMzgifQ==</vt:lpwstr>
  </property>
</Properties>
</file>