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69A79">
      <w:pPr>
        <w:widowControl/>
        <w:spacing w:after="240"/>
        <w:jc w:val="center"/>
        <w:rPr>
          <w:rFonts w:hint="default" w:ascii="Times New Roman" w:hAnsi="Times New Roman" w:eastAsia="方正小标宋简体" w:cs="Times New Roman"/>
          <w:bCs/>
          <w:kern w:val="0"/>
          <w:sz w:val="44"/>
          <w:szCs w:val="44"/>
          <w:lang w:val="en-GB" w:bidi="ar-AE"/>
        </w:rPr>
      </w:pPr>
      <w:bookmarkStart w:id="0" w:name="_GoBack"/>
      <w:r>
        <w:rPr>
          <w:rFonts w:hint="default" w:ascii="Times New Roman" w:hAnsi="Times New Roman" w:eastAsia="方正小标宋简体" w:cs="Times New Roman"/>
          <w:bCs/>
          <w:kern w:val="0"/>
          <w:sz w:val="44"/>
          <w:szCs w:val="44"/>
          <w:lang w:val="en-GB" w:bidi="ar-AE"/>
        </w:rPr>
        <w:t>经营者集中简易案件公示表</w:t>
      </w:r>
    </w:p>
    <w:bookmarkEnd w:id="0"/>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1459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auto"/>
            <w:vAlign w:val="center"/>
          </w:tcPr>
          <w:p w14:paraId="098790A7">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案件名称</w:t>
            </w:r>
          </w:p>
        </w:tc>
        <w:tc>
          <w:tcPr>
            <w:tcW w:w="7700" w:type="dxa"/>
            <w:gridSpan w:val="2"/>
            <w:vAlign w:val="center"/>
          </w:tcPr>
          <w:p w14:paraId="36BFD1B4">
            <w:pPr>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sz w:val="24"/>
              </w:rPr>
              <w:t>香港中华煤气有限公司与佛燃能源集团股份有限公司新设合营企业案</w:t>
            </w:r>
          </w:p>
        </w:tc>
      </w:tr>
      <w:tr w14:paraId="10B6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auto"/>
            <w:vAlign w:val="center"/>
          </w:tcPr>
          <w:p w14:paraId="162B2B2B">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交易概况（限200字内）</w:t>
            </w:r>
          </w:p>
        </w:tc>
        <w:tc>
          <w:tcPr>
            <w:tcW w:w="7700" w:type="dxa"/>
            <w:gridSpan w:val="2"/>
            <w:vAlign w:val="center"/>
          </w:tcPr>
          <w:p w14:paraId="5AE0BA5A">
            <w:pPr>
              <w:keepNext w:val="0"/>
              <w:keepLines w:val="0"/>
              <w:suppressLineNumbers w:val="0"/>
              <w:adjustRightInd w:val="0"/>
              <w:snapToGrid w:val="0"/>
              <w:spacing w:before="0" w:beforeAutospacing="0" w:after="0" w:afterAutospacing="0"/>
              <w:ind w:left="0" w:right="0"/>
              <w:jc w:val="left"/>
              <w:rPr>
                <w:rFonts w:hint="default" w:cs="宋体"/>
                <w:sz w:val="24"/>
                <w:szCs w:val="24"/>
              </w:rPr>
            </w:pPr>
            <w:r>
              <w:rPr>
                <w:rFonts w:hint="eastAsia"/>
                <w:sz w:val="24"/>
              </w:rPr>
              <w:t>香港中华煤气有限公司（“中华煤气”）与佛燃能源集团股份有限公司（“佛燃能源”）签署协议，中华煤气与佛燃能源拟通过各自关联实体新设合营企业，合营企业及其后续设立的附属公司主要从事甲醇项目的投资开发及生产经营。交易后，中华煤气与佛燃能源将分别持有合营企业的50%股权，并共同控制合营企业。</w:t>
            </w:r>
          </w:p>
        </w:tc>
      </w:tr>
      <w:tr w14:paraId="0F5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auto"/>
            <w:vAlign w:val="center"/>
          </w:tcPr>
          <w:p w14:paraId="7B69AE2F">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参与集中的经营者简介（每个限100字以内）</w:t>
            </w:r>
          </w:p>
        </w:tc>
        <w:tc>
          <w:tcPr>
            <w:tcW w:w="1607" w:type="dxa"/>
            <w:vAlign w:val="center"/>
          </w:tcPr>
          <w:p w14:paraId="1A9E7587">
            <w:pPr>
              <w:pStyle w:val="5"/>
              <w:keepNext w:val="0"/>
              <w:keepLines w:val="0"/>
              <w:suppressLineNumbers w:val="0"/>
              <w:adjustRightInd w:val="0"/>
              <w:snapToGrid w:val="0"/>
              <w:spacing w:before="0" w:beforeAutospacing="0" w:after="0" w:afterAutospacing="0"/>
              <w:ind w:left="0" w:right="0"/>
              <w:rPr>
                <w:rFonts w:hint="eastAsia" w:eastAsia="宋体" w:cs="宋体"/>
                <w:bCs/>
                <w:color w:val="000000"/>
                <w:sz w:val="24"/>
                <w:szCs w:val="24"/>
                <w:lang w:eastAsia="zh-CN"/>
              </w:rPr>
            </w:pPr>
            <w:r>
              <w:rPr>
                <w:rFonts w:hint="eastAsia" w:cs="宋体"/>
                <w:bCs/>
                <w:color w:val="000000"/>
                <w:sz w:val="24"/>
                <w:szCs w:val="24"/>
              </w:rPr>
              <w:t>1.</w:t>
            </w:r>
            <w:r>
              <w:rPr>
                <w:rFonts w:hint="eastAsia"/>
                <w:sz w:val="24"/>
                <w:szCs w:val="24"/>
              </w:rPr>
              <w:t xml:space="preserve"> </w:t>
            </w:r>
            <w:r>
              <w:rPr>
                <w:rFonts w:hint="eastAsia"/>
                <w:sz w:val="24"/>
                <w:lang w:eastAsia="zh-CN"/>
              </w:rPr>
              <w:t>中华煤气</w:t>
            </w:r>
          </w:p>
        </w:tc>
        <w:tc>
          <w:tcPr>
            <w:tcW w:w="6093" w:type="dxa"/>
            <w:vAlign w:val="center"/>
          </w:tcPr>
          <w:p w14:paraId="44BF6E0A">
            <w:pPr>
              <w:keepNext w:val="0"/>
              <w:keepLines w:val="0"/>
              <w:suppressLineNumbers w:val="0"/>
              <w:adjustRightInd w:val="0"/>
              <w:snapToGrid w:val="0"/>
              <w:spacing w:before="0" w:beforeAutospacing="0" w:after="0" w:afterAutospacing="0"/>
              <w:ind w:left="0" w:right="0"/>
              <w:rPr>
                <w:rFonts w:hint="eastAsia"/>
                <w:sz w:val="24"/>
              </w:rPr>
            </w:pPr>
            <w:r>
              <w:rPr>
                <w:rFonts w:hint="eastAsia"/>
                <w:sz w:val="24"/>
              </w:rPr>
              <w:t>中华煤气于1862年6月3日成立于英国，后于1982年10月14日转往香港注册，为香港联交所上市公司，主要业务为燃气、供水及经营新兴环保能源业务等。</w:t>
            </w:r>
          </w:p>
          <w:p w14:paraId="781AFFE9">
            <w:pPr>
              <w:keepNext w:val="0"/>
              <w:keepLines w:val="0"/>
              <w:suppressLineNumbers w:val="0"/>
              <w:adjustRightInd w:val="0"/>
              <w:snapToGrid w:val="0"/>
              <w:spacing w:before="0" w:beforeAutospacing="0" w:after="0" w:afterAutospacing="0"/>
              <w:ind w:left="0" w:right="0"/>
              <w:rPr>
                <w:rFonts w:hint="default" w:cs="宋体"/>
                <w:sz w:val="24"/>
                <w:szCs w:val="24"/>
              </w:rPr>
            </w:pPr>
            <w:r>
              <w:rPr>
                <w:rFonts w:hint="eastAsia"/>
                <w:sz w:val="24"/>
              </w:rPr>
              <w:t>中华煤气无最终控制人。</w:t>
            </w:r>
          </w:p>
        </w:tc>
      </w:tr>
      <w:tr w14:paraId="6442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auto"/>
            <w:vAlign w:val="center"/>
          </w:tcPr>
          <w:p w14:paraId="266CD985">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1607" w:type="dxa"/>
            <w:vAlign w:val="center"/>
          </w:tcPr>
          <w:p w14:paraId="3744754E">
            <w:pPr>
              <w:pStyle w:val="5"/>
              <w:keepNext w:val="0"/>
              <w:keepLines w:val="0"/>
              <w:suppressLineNumbers w:val="0"/>
              <w:adjustRightInd w:val="0"/>
              <w:snapToGrid w:val="0"/>
              <w:spacing w:before="0" w:beforeAutospacing="0" w:after="0" w:afterAutospacing="0"/>
              <w:ind w:left="0" w:right="0"/>
              <w:rPr>
                <w:rFonts w:hint="eastAsia" w:eastAsia="宋体" w:cs="宋体"/>
                <w:bCs/>
                <w:color w:val="000000"/>
                <w:sz w:val="24"/>
                <w:szCs w:val="24"/>
                <w:lang w:eastAsia="zh-CN"/>
              </w:rPr>
            </w:pPr>
            <w:r>
              <w:rPr>
                <w:rFonts w:hint="eastAsia" w:cs="宋体"/>
                <w:bCs/>
                <w:color w:val="000000"/>
                <w:sz w:val="24"/>
                <w:szCs w:val="24"/>
              </w:rPr>
              <w:t>2.</w:t>
            </w:r>
            <w:r>
              <w:rPr>
                <w:rFonts w:hint="eastAsia"/>
                <w:sz w:val="24"/>
                <w:szCs w:val="24"/>
              </w:rPr>
              <w:t xml:space="preserve"> </w:t>
            </w:r>
            <w:r>
              <w:rPr>
                <w:rFonts w:hint="eastAsia"/>
                <w:sz w:val="24"/>
                <w:szCs w:val="24"/>
                <w:lang w:eastAsia="zh-CN"/>
              </w:rPr>
              <w:t>佛燃能源</w:t>
            </w:r>
          </w:p>
        </w:tc>
        <w:tc>
          <w:tcPr>
            <w:tcW w:w="6093" w:type="dxa"/>
            <w:vAlign w:val="center"/>
          </w:tcPr>
          <w:p w14:paraId="2EE8D92E">
            <w:pPr>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佛燃能源于1993年2月26日成立于广东省佛山市，为深圳证券交易所上市公司，主要业务为城市燃气、新能源、科技研发与装备制造、供应链业务等。</w:t>
            </w:r>
          </w:p>
          <w:p w14:paraId="0DC1AD7B">
            <w:pPr>
              <w:keepNext w:val="0"/>
              <w:keepLines w:val="0"/>
              <w:suppressLineNumbers w:val="0"/>
              <w:adjustRightInd w:val="0"/>
              <w:snapToGrid w:val="0"/>
              <w:spacing w:before="0" w:beforeAutospacing="0" w:after="0" w:afterAutospacing="0"/>
              <w:ind w:left="0" w:right="0"/>
              <w:rPr>
                <w:rFonts w:hint="default"/>
                <w:sz w:val="24"/>
                <w:szCs w:val="24"/>
              </w:rPr>
            </w:pPr>
            <w:r>
              <w:rPr>
                <w:rFonts w:hint="eastAsia" w:cs="宋体"/>
                <w:bCs/>
                <w:color w:val="000000"/>
                <w:sz w:val="24"/>
              </w:rPr>
              <w:t>佛燃能源最终控制人为佛山市投资控股集团有限公司，主要业务为水务、燃气和电力等公用事业的投资、建设和运营业务。</w:t>
            </w:r>
          </w:p>
        </w:tc>
      </w:tr>
      <w:tr w14:paraId="6726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auto"/>
            <w:vAlign w:val="center"/>
          </w:tcPr>
          <w:p w14:paraId="17F206C7">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简易案件理由（可以单选，也可以多选）</w:t>
            </w:r>
          </w:p>
        </w:tc>
        <w:tc>
          <w:tcPr>
            <w:tcW w:w="7700" w:type="dxa"/>
            <w:gridSpan w:val="2"/>
            <w:vAlign w:val="center"/>
          </w:tcPr>
          <w:p w14:paraId="442E37FE">
            <w:pPr>
              <w:pStyle w:val="5"/>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FE"/>
            </w:r>
            <w:r>
              <w:rPr>
                <w:rFonts w:hint="eastAsia" w:cs="宋体"/>
                <w:bCs/>
                <w:color w:val="000000"/>
                <w:sz w:val="24"/>
                <w:szCs w:val="24"/>
              </w:rPr>
              <w:t xml:space="preserve"> 1、在同一相关市场，所有参与集中的经营者所占市场份额之和小于15%。</w:t>
            </w:r>
          </w:p>
        </w:tc>
      </w:tr>
      <w:tr w14:paraId="5C3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auto"/>
            <w:vAlign w:val="center"/>
          </w:tcPr>
          <w:p w14:paraId="7D6906B6">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41013A77">
            <w:pPr>
              <w:pStyle w:val="5"/>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FE"/>
            </w:r>
            <w:r>
              <w:rPr>
                <w:rFonts w:hint="eastAsia" w:cs="宋体"/>
                <w:bCs/>
                <w:color w:val="000000"/>
                <w:sz w:val="24"/>
                <w:szCs w:val="24"/>
              </w:rPr>
              <w:t xml:space="preserve"> 2、存在上下游关系的参与集中的经营者，在上下游市场所占的市场份额均小于25%。</w:t>
            </w:r>
          </w:p>
        </w:tc>
      </w:tr>
      <w:tr w14:paraId="704D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auto"/>
            <w:vAlign w:val="center"/>
          </w:tcPr>
          <w:p w14:paraId="30D77119">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335EA32F">
            <w:pPr>
              <w:pStyle w:val="5"/>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3、不在同一相关市场、也不存在上下游关系的参与集中的经营者，在与交易有关的每个市场所占的份额均小于25%。</w:t>
            </w:r>
          </w:p>
        </w:tc>
      </w:tr>
      <w:tr w14:paraId="5ABE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auto"/>
            <w:vAlign w:val="center"/>
          </w:tcPr>
          <w:p w14:paraId="33D3795C">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6EF3F175">
            <w:pPr>
              <w:pStyle w:val="5"/>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4、参与集中的经营者在中国境外设立合营企业，合营企业不在中国境内从事经济活动。</w:t>
            </w:r>
          </w:p>
        </w:tc>
      </w:tr>
      <w:tr w14:paraId="59F9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auto"/>
            <w:vAlign w:val="center"/>
          </w:tcPr>
          <w:p w14:paraId="26412753">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77E72EA0">
            <w:pPr>
              <w:pStyle w:val="5"/>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5、参与集中的经营者收购境外企业股权或资产的，该境外企业不在中国境内从事经济活动。</w:t>
            </w:r>
          </w:p>
        </w:tc>
      </w:tr>
      <w:tr w14:paraId="61B4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auto"/>
            <w:vAlign w:val="center"/>
          </w:tcPr>
          <w:p w14:paraId="77AB017C">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13F7A546">
            <w:pPr>
              <w:pStyle w:val="5"/>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6、由两个以上的经营者共同控制的合营企业，通过集中被其中一个或一个以上经营者控制。</w:t>
            </w:r>
          </w:p>
        </w:tc>
      </w:tr>
      <w:tr w14:paraId="6884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auto"/>
            <w:vAlign w:val="center"/>
          </w:tcPr>
          <w:p w14:paraId="1AC03EEB">
            <w:pPr>
              <w:pStyle w:val="5"/>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备注</w:t>
            </w:r>
          </w:p>
        </w:tc>
        <w:tc>
          <w:tcPr>
            <w:tcW w:w="7700" w:type="dxa"/>
            <w:gridSpan w:val="2"/>
            <w:vAlign w:val="center"/>
          </w:tcPr>
          <w:p w14:paraId="370AAFA8">
            <w:pPr>
              <w:pStyle w:val="5"/>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横向重叠：</w:t>
            </w:r>
          </w:p>
          <w:p w14:paraId="79C9461F">
            <w:pPr>
              <w:pStyle w:val="5"/>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2023年中国境内甲醇市场：</w:t>
            </w:r>
          </w:p>
          <w:p w14:paraId="7D2D4E1A">
            <w:pPr>
              <w:pStyle w:val="5"/>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中华煤气：0-5%，佛燃能源：0-5%，合营企业（预估）：0-5%，各方合计：0-5%</w:t>
            </w:r>
          </w:p>
          <w:p w14:paraId="616F1172">
            <w:pPr>
              <w:pStyle w:val="5"/>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纵向关联：</w:t>
            </w:r>
          </w:p>
          <w:p w14:paraId="55AFA1C4">
            <w:pPr>
              <w:pStyle w:val="5"/>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上游：2023年中国境内生物质气化技术解决方案市场：</w:t>
            </w:r>
          </w:p>
          <w:p w14:paraId="58EAA562">
            <w:pPr>
              <w:pStyle w:val="5"/>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中华煤气：0-5%</w:t>
            </w:r>
          </w:p>
          <w:p w14:paraId="43CC2041">
            <w:pPr>
              <w:pStyle w:val="5"/>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下游：2023年中国境内甲醇市场：</w:t>
            </w:r>
          </w:p>
          <w:p w14:paraId="6DDD0D76">
            <w:pPr>
              <w:pStyle w:val="5"/>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rPr>
              <w:t>如上所述</w:t>
            </w:r>
          </w:p>
        </w:tc>
      </w:tr>
    </w:tbl>
    <w:p w14:paraId="014E6A94">
      <w:pPr>
        <w:pStyle w:val="2"/>
        <w:rPr>
          <w:rFonts w:hint="default"/>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Simplified Arabic">
    <w:altName w:val="Arial"/>
    <w:panose1 w:val="02020603050405020304"/>
    <w:charset w:val="B2"/>
    <w:family w:val="roman"/>
    <w:pitch w:val="default"/>
    <w:sig w:usb0="00000000" w:usb1="00000000" w:usb2="00000000" w:usb3="00000000" w:csb0="00000041" w:csb1="2008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490FA">
    <w:pPr>
      <w:pStyle w:val="7"/>
      <w:tabs>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MTI0ODhhNzFmMGU3MTZhMTA0ODYxYzI1N2YwYjIifQ=="/>
  </w:docVars>
  <w:rsids>
    <w:rsidRoot w:val="511505E7"/>
    <w:rsid w:val="00042BDD"/>
    <w:rsid w:val="0007692D"/>
    <w:rsid w:val="00087338"/>
    <w:rsid w:val="00114814"/>
    <w:rsid w:val="001B50F2"/>
    <w:rsid w:val="001C6148"/>
    <w:rsid w:val="001F1C3C"/>
    <w:rsid w:val="0022179C"/>
    <w:rsid w:val="00221FCA"/>
    <w:rsid w:val="00244DF9"/>
    <w:rsid w:val="00284710"/>
    <w:rsid w:val="00332EAC"/>
    <w:rsid w:val="00346B84"/>
    <w:rsid w:val="00367A54"/>
    <w:rsid w:val="004C4C54"/>
    <w:rsid w:val="00500F51"/>
    <w:rsid w:val="00504BEC"/>
    <w:rsid w:val="00507863"/>
    <w:rsid w:val="005C4EFC"/>
    <w:rsid w:val="0062408E"/>
    <w:rsid w:val="00627CE6"/>
    <w:rsid w:val="00646E32"/>
    <w:rsid w:val="006A20C6"/>
    <w:rsid w:val="006C3B44"/>
    <w:rsid w:val="00707821"/>
    <w:rsid w:val="0072474D"/>
    <w:rsid w:val="00734F51"/>
    <w:rsid w:val="007D63FA"/>
    <w:rsid w:val="007F706B"/>
    <w:rsid w:val="00816711"/>
    <w:rsid w:val="00826195"/>
    <w:rsid w:val="008472A3"/>
    <w:rsid w:val="00876497"/>
    <w:rsid w:val="009040AD"/>
    <w:rsid w:val="00934D60"/>
    <w:rsid w:val="00A73286"/>
    <w:rsid w:val="00B45330"/>
    <w:rsid w:val="00B93533"/>
    <w:rsid w:val="00BC4863"/>
    <w:rsid w:val="00BD3FB4"/>
    <w:rsid w:val="00BE051D"/>
    <w:rsid w:val="00C046B3"/>
    <w:rsid w:val="00D11F6E"/>
    <w:rsid w:val="00D14CED"/>
    <w:rsid w:val="00E40607"/>
    <w:rsid w:val="00E4263C"/>
    <w:rsid w:val="00E466FD"/>
    <w:rsid w:val="00F63099"/>
    <w:rsid w:val="00F7053E"/>
    <w:rsid w:val="00F90810"/>
    <w:rsid w:val="00FD5EA5"/>
    <w:rsid w:val="00FF42DD"/>
    <w:rsid w:val="011DF4EB"/>
    <w:rsid w:val="01B165CE"/>
    <w:rsid w:val="0217304F"/>
    <w:rsid w:val="02515359"/>
    <w:rsid w:val="030806B1"/>
    <w:rsid w:val="03490091"/>
    <w:rsid w:val="03D70EC9"/>
    <w:rsid w:val="04B425C4"/>
    <w:rsid w:val="04B85AFF"/>
    <w:rsid w:val="05AB50DB"/>
    <w:rsid w:val="06075F29"/>
    <w:rsid w:val="072729B8"/>
    <w:rsid w:val="07D6476B"/>
    <w:rsid w:val="087232C3"/>
    <w:rsid w:val="08D6542E"/>
    <w:rsid w:val="08ED34FD"/>
    <w:rsid w:val="093446A7"/>
    <w:rsid w:val="0A9F9D6D"/>
    <w:rsid w:val="0AF22185"/>
    <w:rsid w:val="0B1835C3"/>
    <w:rsid w:val="0B63273E"/>
    <w:rsid w:val="0BD91CE7"/>
    <w:rsid w:val="0C6B60D7"/>
    <w:rsid w:val="0D7FCEE7"/>
    <w:rsid w:val="0DE526A7"/>
    <w:rsid w:val="0E5C7E9D"/>
    <w:rsid w:val="0EEC791B"/>
    <w:rsid w:val="0F272A69"/>
    <w:rsid w:val="0FA436B7"/>
    <w:rsid w:val="0FBBC6D8"/>
    <w:rsid w:val="10C02711"/>
    <w:rsid w:val="1295728D"/>
    <w:rsid w:val="12ED74AA"/>
    <w:rsid w:val="130B6D76"/>
    <w:rsid w:val="13236AF1"/>
    <w:rsid w:val="13D6674E"/>
    <w:rsid w:val="150C1E94"/>
    <w:rsid w:val="15D94F21"/>
    <w:rsid w:val="15E47716"/>
    <w:rsid w:val="1680064E"/>
    <w:rsid w:val="17436509"/>
    <w:rsid w:val="1AA11230"/>
    <w:rsid w:val="1B2D6269"/>
    <w:rsid w:val="1BF9394B"/>
    <w:rsid w:val="1BF9AB71"/>
    <w:rsid w:val="1C361957"/>
    <w:rsid w:val="1DA24124"/>
    <w:rsid w:val="1DFE30C6"/>
    <w:rsid w:val="1FC81833"/>
    <w:rsid w:val="20C2797E"/>
    <w:rsid w:val="215B059A"/>
    <w:rsid w:val="24606B41"/>
    <w:rsid w:val="246736EB"/>
    <w:rsid w:val="24840815"/>
    <w:rsid w:val="25C17900"/>
    <w:rsid w:val="261144B9"/>
    <w:rsid w:val="27B435B3"/>
    <w:rsid w:val="27ED6C10"/>
    <w:rsid w:val="281C288D"/>
    <w:rsid w:val="289A6D28"/>
    <w:rsid w:val="29C96CA1"/>
    <w:rsid w:val="2B795B9C"/>
    <w:rsid w:val="2C0C7CCC"/>
    <w:rsid w:val="2CAC25FF"/>
    <w:rsid w:val="2DA61BF1"/>
    <w:rsid w:val="2ECF569F"/>
    <w:rsid w:val="2F0902B7"/>
    <w:rsid w:val="3025112D"/>
    <w:rsid w:val="319E78FD"/>
    <w:rsid w:val="339B1A7D"/>
    <w:rsid w:val="34527864"/>
    <w:rsid w:val="356065C1"/>
    <w:rsid w:val="35741F7B"/>
    <w:rsid w:val="35927D49"/>
    <w:rsid w:val="36647739"/>
    <w:rsid w:val="36722108"/>
    <w:rsid w:val="37736187"/>
    <w:rsid w:val="37EC4B4C"/>
    <w:rsid w:val="3A7D25F4"/>
    <w:rsid w:val="3B6C128B"/>
    <w:rsid w:val="3BF42FA2"/>
    <w:rsid w:val="3C1B3849"/>
    <w:rsid w:val="3DBE0E38"/>
    <w:rsid w:val="3DCF2C73"/>
    <w:rsid w:val="3E3B322A"/>
    <w:rsid w:val="3EB73502"/>
    <w:rsid w:val="3EB7365E"/>
    <w:rsid w:val="3EBE2D3F"/>
    <w:rsid w:val="3ED7D01C"/>
    <w:rsid w:val="3EE73D98"/>
    <w:rsid w:val="3FFFF7A9"/>
    <w:rsid w:val="40D7777E"/>
    <w:rsid w:val="41D779C0"/>
    <w:rsid w:val="42F92F7B"/>
    <w:rsid w:val="436E421B"/>
    <w:rsid w:val="43E353FE"/>
    <w:rsid w:val="45E92E66"/>
    <w:rsid w:val="46845245"/>
    <w:rsid w:val="46F216C3"/>
    <w:rsid w:val="48567BBA"/>
    <w:rsid w:val="48604985"/>
    <w:rsid w:val="48C332AF"/>
    <w:rsid w:val="49857111"/>
    <w:rsid w:val="498A72A0"/>
    <w:rsid w:val="49DD6CEB"/>
    <w:rsid w:val="4B3F8428"/>
    <w:rsid w:val="4C824703"/>
    <w:rsid w:val="4CC01CF8"/>
    <w:rsid w:val="4CFD75DE"/>
    <w:rsid w:val="4D533669"/>
    <w:rsid w:val="4D611881"/>
    <w:rsid w:val="4DB67BAD"/>
    <w:rsid w:val="4DBF710D"/>
    <w:rsid w:val="4DDB0C16"/>
    <w:rsid w:val="4E585190"/>
    <w:rsid w:val="4E626EA5"/>
    <w:rsid w:val="4F7D0643"/>
    <w:rsid w:val="4FFE4A4F"/>
    <w:rsid w:val="50CB3BDA"/>
    <w:rsid w:val="511505E7"/>
    <w:rsid w:val="5275657D"/>
    <w:rsid w:val="53701092"/>
    <w:rsid w:val="53DE53F7"/>
    <w:rsid w:val="549363D0"/>
    <w:rsid w:val="54D26C3D"/>
    <w:rsid w:val="54DD7AC9"/>
    <w:rsid w:val="55413F6A"/>
    <w:rsid w:val="558A3AEC"/>
    <w:rsid w:val="55FF4F39"/>
    <w:rsid w:val="563C0C84"/>
    <w:rsid w:val="567C47AD"/>
    <w:rsid w:val="568C7EFA"/>
    <w:rsid w:val="5721053D"/>
    <w:rsid w:val="5737FFAD"/>
    <w:rsid w:val="5A320350"/>
    <w:rsid w:val="5A4E1134"/>
    <w:rsid w:val="5A8F5421"/>
    <w:rsid w:val="5AB377AC"/>
    <w:rsid w:val="5ADB7A9F"/>
    <w:rsid w:val="5BDF7AA8"/>
    <w:rsid w:val="5CC770F3"/>
    <w:rsid w:val="5DBF55A7"/>
    <w:rsid w:val="5E606197"/>
    <w:rsid w:val="5E758AD3"/>
    <w:rsid w:val="5F5B3889"/>
    <w:rsid w:val="5F7404E1"/>
    <w:rsid w:val="5F7BBE1B"/>
    <w:rsid w:val="60B85CFA"/>
    <w:rsid w:val="61AC7C2D"/>
    <w:rsid w:val="61F32521"/>
    <w:rsid w:val="6229E334"/>
    <w:rsid w:val="63F6661D"/>
    <w:rsid w:val="64F94FB6"/>
    <w:rsid w:val="64FF0119"/>
    <w:rsid w:val="650C61D5"/>
    <w:rsid w:val="65183212"/>
    <w:rsid w:val="65AC0421"/>
    <w:rsid w:val="66E53709"/>
    <w:rsid w:val="67090219"/>
    <w:rsid w:val="6754015D"/>
    <w:rsid w:val="67885F66"/>
    <w:rsid w:val="67D469E8"/>
    <w:rsid w:val="685D233B"/>
    <w:rsid w:val="69961B9A"/>
    <w:rsid w:val="69C0748D"/>
    <w:rsid w:val="6A7D30C3"/>
    <w:rsid w:val="6B9261CD"/>
    <w:rsid w:val="6B9A71CB"/>
    <w:rsid w:val="6BCB1BF4"/>
    <w:rsid w:val="6BCC0CB3"/>
    <w:rsid w:val="6C45316D"/>
    <w:rsid w:val="6CBF87B4"/>
    <w:rsid w:val="6DED96DF"/>
    <w:rsid w:val="6DEFBAE0"/>
    <w:rsid w:val="6E372E5F"/>
    <w:rsid w:val="6E786ABC"/>
    <w:rsid w:val="6F0B7431"/>
    <w:rsid w:val="6FCFFDE8"/>
    <w:rsid w:val="6FDF5799"/>
    <w:rsid w:val="710A7485"/>
    <w:rsid w:val="71394751"/>
    <w:rsid w:val="72131803"/>
    <w:rsid w:val="723024E6"/>
    <w:rsid w:val="73026B48"/>
    <w:rsid w:val="74566BED"/>
    <w:rsid w:val="74CE550B"/>
    <w:rsid w:val="767FE0B3"/>
    <w:rsid w:val="76CA40F3"/>
    <w:rsid w:val="77527FDF"/>
    <w:rsid w:val="77FFCFC3"/>
    <w:rsid w:val="78410251"/>
    <w:rsid w:val="785A2CB0"/>
    <w:rsid w:val="793FB7A1"/>
    <w:rsid w:val="7A9C06E1"/>
    <w:rsid w:val="7AB91678"/>
    <w:rsid w:val="7B8F578C"/>
    <w:rsid w:val="7B9A66EF"/>
    <w:rsid w:val="7BE411F0"/>
    <w:rsid w:val="7BE7C42C"/>
    <w:rsid w:val="7BFFD823"/>
    <w:rsid w:val="7C7918BC"/>
    <w:rsid w:val="7D8E8A18"/>
    <w:rsid w:val="7EBDA18C"/>
    <w:rsid w:val="7EBDC043"/>
    <w:rsid w:val="7EE72273"/>
    <w:rsid w:val="7EF7CDD2"/>
    <w:rsid w:val="7F3E3F45"/>
    <w:rsid w:val="7F7BEB9D"/>
    <w:rsid w:val="7FBF2495"/>
    <w:rsid w:val="7FDCAB43"/>
    <w:rsid w:val="7FE91E78"/>
    <w:rsid w:val="7FF7C773"/>
    <w:rsid w:val="7FFDE69B"/>
    <w:rsid w:val="9CBD0B1A"/>
    <w:rsid w:val="9EF6604C"/>
    <w:rsid w:val="A7F7A48E"/>
    <w:rsid w:val="A7F9C1DE"/>
    <w:rsid w:val="B593FB7D"/>
    <w:rsid w:val="BCB7048F"/>
    <w:rsid w:val="BF8E36EE"/>
    <w:rsid w:val="BFDFB85E"/>
    <w:rsid w:val="BFF5AD43"/>
    <w:rsid w:val="BFF739EC"/>
    <w:rsid w:val="D7FFD2F4"/>
    <w:rsid w:val="D9FFDD10"/>
    <w:rsid w:val="DDEFBA43"/>
    <w:rsid w:val="DEAFB90F"/>
    <w:rsid w:val="DF21B821"/>
    <w:rsid w:val="DFD76A11"/>
    <w:rsid w:val="E3CF85CB"/>
    <w:rsid w:val="E9F71F09"/>
    <w:rsid w:val="EAFD8D58"/>
    <w:rsid w:val="EB6C770B"/>
    <w:rsid w:val="EBCD181E"/>
    <w:rsid w:val="EBF8DBF2"/>
    <w:rsid w:val="EEAFFE3B"/>
    <w:rsid w:val="EF7C48A7"/>
    <w:rsid w:val="EFFFDD70"/>
    <w:rsid w:val="F1B778F1"/>
    <w:rsid w:val="F3FF743F"/>
    <w:rsid w:val="F4FF55F7"/>
    <w:rsid w:val="F7FD911C"/>
    <w:rsid w:val="F9DF2CA6"/>
    <w:rsid w:val="FB3326CC"/>
    <w:rsid w:val="FBCE4D19"/>
    <w:rsid w:val="FCEEDA67"/>
    <w:rsid w:val="FDBF10AA"/>
    <w:rsid w:val="FEFBBBDF"/>
    <w:rsid w:val="FF6B92DC"/>
    <w:rsid w:val="FFBC3961"/>
    <w:rsid w:val="FFD39E12"/>
    <w:rsid w:val="FFDD1EA1"/>
    <w:rsid w:val="FFE150D0"/>
    <w:rsid w:val="FFE7A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after="156" w:afterLines="50" w:line="640" w:lineRule="exact"/>
      <w:outlineLvl w:val="0"/>
    </w:pPr>
    <w:rPr>
      <w:rFonts w:ascii="方正小标宋简体" w:eastAsia="方正小标宋简体"/>
      <w:sz w:val="44"/>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99"/>
  </w:style>
  <w:style w:type="paragraph" w:styleId="4">
    <w:name w:val="annotation text"/>
    <w:basedOn w:val="1"/>
    <w:qFormat/>
    <w:uiPriority w:val="0"/>
    <w:pPr>
      <w:jc w:val="left"/>
    </w:pPr>
  </w:style>
  <w:style w:type="paragraph" w:styleId="5">
    <w:name w:val="Body Text"/>
    <w:basedOn w:val="1"/>
    <w:next w:val="6"/>
    <w:link w:val="19"/>
    <w:unhideWhenUsed/>
    <w:qFormat/>
    <w:uiPriority w:val="99"/>
    <w:pPr>
      <w:spacing w:after="120"/>
    </w:pPr>
  </w:style>
  <w:style w:type="paragraph" w:styleId="6">
    <w:name w:val="Body Text First Indent"/>
    <w:basedOn w:val="5"/>
    <w:qFormat/>
    <w:uiPriority w:val="0"/>
    <w:pPr>
      <w:ind w:firstLine="420" w:firstLineChars="100"/>
    </w:p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rPr>
      <w:rFonts w:ascii="Times New Roman" w:hAnsi="Times New Roman" w:eastAsia="宋体"/>
      <w:sz w:val="30"/>
    </w:rPr>
  </w:style>
  <w:style w:type="paragraph" w:styleId="10">
    <w:name w:val="Normal (Web)"/>
    <w:basedOn w:val="1"/>
    <w:qFormat/>
    <w:uiPriority w:val="0"/>
    <w:rPr>
      <w:sz w:val="24"/>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qFormat/>
    <w:uiPriority w:val="0"/>
    <w:rPr>
      <w:rFonts w:ascii="Times New Roman" w:hAnsi="Times New Roman" w:eastAsia="宋体" w:cs="Simplified Arabic"/>
      <w:sz w:val="24"/>
      <w:szCs w:val="24"/>
      <w:lang w:val="en-GB" w:bidi="ar-AE"/>
    </w:rPr>
  </w:style>
  <w:style w:type="paragraph" w:customStyle="1" w:styleId="15">
    <w:name w:val="名称2"/>
    <w:basedOn w:val="16"/>
    <w:qFormat/>
    <w:uiPriority w:val="0"/>
    <w:pPr>
      <w:spacing w:after="312" w:afterLines="100"/>
    </w:pPr>
    <w:rPr>
      <w:b w:val="0"/>
      <w:sz w:val="20"/>
    </w:rPr>
  </w:style>
  <w:style w:type="paragraph" w:customStyle="1" w:styleId="16">
    <w:name w:val="名称"/>
    <w:basedOn w:val="1"/>
    <w:qFormat/>
    <w:uiPriority w:val="0"/>
    <w:pPr>
      <w:jc w:val="center"/>
    </w:pPr>
    <w:rPr>
      <w:b/>
      <w:kern w:val="0"/>
      <w:sz w:val="44"/>
      <w:szCs w:val="20"/>
    </w:rPr>
  </w:style>
  <w:style w:type="character" w:customStyle="1" w:styleId="17">
    <w:name w:val="页眉 字符"/>
    <w:basedOn w:val="13"/>
    <w:link w:val="8"/>
    <w:qFormat/>
    <w:uiPriority w:val="0"/>
    <w:rPr>
      <w:rFonts w:ascii="Times New Roman" w:hAnsi="Times New Roman" w:eastAsia="宋体" w:cs="Times New Roman"/>
      <w:kern w:val="2"/>
      <w:sz w:val="18"/>
      <w:szCs w:val="18"/>
    </w:rPr>
  </w:style>
  <w:style w:type="character" w:customStyle="1" w:styleId="18">
    <w:name w:val="页脚 字符"/>
    <w:basedOn w:val="13"/>
    <w:link w:val="7"/>
    <w:qFormat/>
    <w:uiPriority w:val="0"/>
    <w:rPr>
      <w:rFonts w:ascii="Times New Roman" w:hAnsi="Times New Roman" w:eastAsia="宋体" w:cs="Times New Roman"/>
      <w:kern w:val="2"/>
      <w:sz w:val="18"/>
      <w:szCs w:val="18"/>
    </w:rPr>
  </w:style>
  <w:style w:type="character" w:customStyle="1" w:styleId="19">
    <w:name w:val="正文文本 字符"/>
    <w:basedOn w:val="13"/>
    <w:link w:val="5"/>
    <w:qFormat/>
    <w:uiPriority w:val="99"/>
    <w:rPr>
      <w:rFonts w:ascii="Times New Roman" w:hAnsi="Times New Roman" w:eastAsia="宋体" w:cs="Times New Roman"/>
      <w:kern w:val="2"/>
      <w:sz w:val="21"/>
      <w:szCs w:val="24"/>
    </w:rPr>
  </w:style>
  <w:style w:type="paragraph" w:styleId="20">
    <w:name w:val="List Paragraph"/>
    <w:basedOn w:val="1"/>
    <w:qFormat/>
    <w:uiPriority w:val="99"/>
    <w:pPr>
      <w:ind w:firstLine="420" w:firstLineChars="200"/>
    </w:pPr>
  </w:style>
  <w:style w:type="paragraph" w:customStyle="1" w:styleId="21">
    <w:name w:val="Footer Right"/>
    <w:basedOn w:val="7"/>
    <w:qFormat/>
    <w:uiPriority w:val="0"/>
    <w:pPr>
      <w:jc w:val="right"/>
    </w:pPr>
  </w:style>
  <w:style w:type="paragraph" w:customStyle="1" w:styleId="22">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1857</Words>
  <Characters>1992</Characters>
  <Lines>1</Lines>
  <Paragraphs>1</Paragraphs>
  <TotalTime>13</TotalTime>
  <ScaleCrop>false</ScaleCrop>
  <LinksUpToDate>false</LinksUpToDate>
  <CharactersWithSpaces>2116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2023-03-02T09:34:00Z</dcterms:created>
  <dc:creator>张斌（反垄断处）</dc:creator>
  <cp:lastModifiedBy>一咦已翌</cp:lastModifiedBy>
  <cp:lastPrinted>2024-04-09T01:34:00Z</cp:lastPrinted>
  <dcterms:modified xsi:type="dcterms:W3CDTF">2025-03-25T07:22:28Z</dcterms:modified>
  <dc:title>关于经营者集中反垄断审查案件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1757478A62FC462689F1A7835A4F5D66_13</vt:lpwstr>
  </property>
  <property fmtid="{D5CDD505-2E9C-101B-9397-08002B2CF9AE}" pid="4" name="KSOTemplateDocerSaveRecord">
    <vt:lpwstr>eyJoZGlkIjoiYTNjZWMxNGQwMzhkODdjYWNkZGZjOGZlYmY3NTJmNWMiLCJ1c2VySWQiOiIyNDQ2MzYxMzgifQ==</vt:lpwstr>
  </property>
</Properties>
</file>