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E9ABFA">
      <w:pPr>
        <w:widowControl/>
        <w:spacing w:after="240"/>
        <w:jc w:val="center"/>
        <w:rPr>
          <w:rFonts w:hint="default" w:ascii="Times New Roman" w:hAnsi="Times New Roman" w:eastAsia="方正小标宋简体" w:cs="Times New Roman"/>
          <w:bCs/>
          <w:kern w:val="0"/>
          <w:sz w:val="44"/>
          <w:szCs w:val="44"/>
          <w:lang w:val="en-GB" w:bidi="ar-AE"/>
        </w:rPr>
      </w:pPr>
      <w:bookmarkStart w:id="0" w:name="_GoBack"/>
      <w:r>
        <w:rPr>
          <w:rFonts w:hint="default" w:ascii="Times New Roman" w:hAnsi="Times New Roman" w:eastAsia="方正小标宋简体" w:cs="Times New Roman"/>
          <w:bCs/>
          <w:kern w:val="0"/>
          <w:sz w:val="44"/>
          <w:szCs w:val="44"/>
          <w:lang w:val="en-GB" w:bidi="ar-AE"/>
        </w:rPr>
        <w:t>经营者集中简易案件公示表</w:t>
      </w:r>
    </w:p>
    <w:bookmarkEnd w:id="0"/>
    <w:tbl>
      <w:tblPr>
        <w:tblStyle w:val="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607"/>
        <w:gridCol w:w="6093"/>
      </w:tblGrid>
      <w:tr w14:paraId="4C6ED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940" w:type="dxa"/>
            <w:shd w:val="clear" w:color="auto" w:fill="auto"/>
            <w:noWrap w:val="0"/>
            <w:vAlign w:val="center"/>
          </w:tcPr>
          <w:p w14:paraId="29976F73">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rPr>
            </w:pPr>
            <w:r>
              <w:rPr>
                <w:rFonts w:hint="default" w:ascii="Times New Roman" w:hAnsi="Times New Roman" w:eastAsia="宋体" w:cs="Times New Roman"/>
                <w:b w:val="0"/>
                <w:bCs/>
                <w:color w:val="000000"/>
                <w:kern w:val="0"/>
                <w:sz w:val="24"/>
                <w:szCs w:val="24"/>
                <w:lang w:val="en-GB"/>
              </w:rPr>
              <w:t>案件名称</w:t>
            </w:r>
          </w:p>
        </w:tc>
        <w:tc>
          <w:tcPr>
            <w:tcW w:w="7700" w:type="dxa"/>
            <w:gridSpan w:val="2"/>
            <w:noWrap w:val="0"/>
            <w:vAlign w:val="center"/>
          </w:tcPr>
          <w:p w14:paraId="5582430C">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US" w:eastAsia="zh-CN" w:bidi="ar-AE"/>
              </w:rPr>
              <w:t>保利（广州）物业发展有限公司与广州翔龙集团物业服务有限公司新设合营企业案</w:t>
            </w:r>
          </w:p>
        </w:tc>
      </w:tr>
      <w:tr w14:paraId="3C8C7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940" w:type="dxa"/>
            <w:shd w:val="clear" w:color="auto" w:fill="auto"/>
            <w:noWrap w:val="0"/>
            <w:vAlign w:val="center"/>
          </w:tcPr>
          <w:p w14:paraId="219B4CE0">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GB" w:eastAsia="zh-CN"/>
              </w:rPr>
              <w:t>交易概况（限200字内）</w:t>
            </w:r>
          </w:p>
        </w:tc>
        <w:tc>
          <w:tcPr>
            <w:tcW w:w="7700" w:type="dxa"/>
            <w:gridSpan w:val="2"/>
            <w:noWrap w:val="0"/>
            <w:vAlign w:val="center"/>
          </w:tcPr>
          <w:p w14:paraId="5EAE0301">
            <w:pPr>
              <w:keepNext w:val="0"/>
              <w:keepLines w:val="0"/>
              <w:pageBreakBefore w:val="0"/>
              <w:widowControl w:val="0"/>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ascii="Times New Roman" w:hAnsi="Times New Roman" w:eastAsia="宋体" w:cs="Times New Roman"/>
                <w:kern w:val="0"/>
                <w:sz w:val="24"/>
                <w:szCs w:val="24"/>
                <w:lang w:val="en-GB" w:eastAsia="zh-CN" w:bidi="ar-AE"/>
              </w:rPr>
              <w:t>保利（广州）物业发展有限公司（“保利广州”）与广州翔龙集团物业服务有限公（“广州翔龙”）签署协议，拟在广东省广州市新设一家合营企业，主要从事住宅物业管理服务业务。交易后，保利广州和广州翔龙分别持有合营企业51%和49%的股权，共同控制合营企业。</w:t>
            </w:r>
          </w:p>
        </w:tc>
      </w:tr>
      <w:tr w14:paraId="788D0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1940" w:type="dxa"/>
            <w:vMerge w:val="restart"/>
            <w:shd w:val="clear" w:color="auto" w:fill="auto"/>
            <w:noWrap w:val="0"/>
            <w:vAlign w:val="center"/>
          </w:tcPr>
          <w:p w14:paraId="61F2DB7B">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GB" w:eastAsia="zh-CN"/>
              </w:rPr>
              <w:t>参与集中的经营者简介（每个限</w:t>
            </w:r>
            <w:r>
              <w:rPr>
                <w:rFonts w:hint="default" w:ascii="Times New Roman" w:hAnsi="Times New Roman" w:eastAsia="宋体" w:cs="Times New Roman"/>
                <w:b w:val="0"/>
                <w:bCs/>
                <w:color w:val="000000"/>
                <w:kern w:val="0"/>
                <w:sz w:val="24"/>
                <w:szCs w:val="24"/>
                <w:lang w:val="en-US" w:eastAsia="zh-CN"/>
              </w:rPr>
              <w:t>100字以内</w:t>
            </w:r>
            <w:r>
              <w:rPr>
                <w:rFonts w:hint="default" w:ascii="Times New Roman" w:hAnsi="Times New Roman" w:eastAsia="宋体" w:cs="Times New Roman"/>
                <w:b w:val="0"/>
                <w:bCs/>
                <w:color w:val="000000"/>
                <w:kern w:val="0"/>
                <w:sz w:val="24"/>
                <w:szCs w:val="24"/>
                <w:lang w:val="en-GB" w:eastAsia="zh-CN"/>
              </w:rPr>
              <w:t>）</w:t>
            </w:r>
          </w:p>
        </w:tc>
        <w:tc>
          <w:tcPr>
            <w:tcW w:w="1607" w:type="dxa"/>
            <w:noWrap w:val="0"/>
            <w:vAlign w:val="center"/>
          </w:tcPr>
          <w:p w14:paraId="1C3864C4">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ascii="Times New Roman" w:hAnsi="Times New Roman" w:eastAsia="宋体" w:cs="Times New Roman"/>
                <w:b w:val="0"/>
                <w:bCs/>
                <w:color w:val="000000"/>
                <w:kern w:val="0"/>
                <w:sz w:val="24"/>
                <w:szCs w:val="24"/>
                <w:lang w:val="en-US" w:eastAsia="zh-CN" w:bidi="ar-AE"/>
              </w:rPr>
              <w:t>1.</w:t>
            </w:r>
            <w:r>
              <w:rPr>
                <w:rFonts w:hint="eastAsia" w:cs="Times New Roman"/>
                <w:b w:val="0"/>
                <w:bCs/>
                <w:color w:val="000000"/>
                <w:kern w:val="0"/>
                <w:sz w:val="24"/>
                <w:szCs w:val="24"/>
                <w:lang w:val="en-US" w:eastAsia="zh-CN" w:bidi="ar-AE"/>
              </w:rPr>
              <w:t>保利广州</w:t>
            </w:r>
          </w:p>
        </w:tc>
        <w:tc>
          <w:tcPr>
            <w:tcW w:w="6093" w:type="dxa"/>
            <w:noWrap w:val="0"/>
            <w:vAlign w:val="center"/>
          </w:tcPr>
          <w:p w14:paraId="26F44006">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eastAsia" w:ascii="Times New Roman" w:hAnsi="Times New Roman" w:eastAsia="宋体" w:cs="Times New Roman"/>
                <w:b w:val="0"/>
                <w:bCs/>
                <w:color w:val="000000"/>
                <w:kern w:val="0"/>
                <w:sz w:val="24"/>
                <w:szCs w:val="24"/>
                <w:lang w:val="en-US" w:eastAsia="zh-CN" w:bidi="ar-AE"/>
              </w:rPr>
              <w:t>保利广州</w:t>
            </w:r>
            <w:r>
              <w:rPr>
                <w:rFonts w:hint="default" w:ascii="Times New Roman" w:hAnsi="Times New Roman" w:eastAsia="宋体" w:cs="Times New Roman"/>
                <w:b w:val="0"/>
                <w:bCs/>
                <w:color w:val="000000"/>
                <w:kern w:val="0"/>
                <w:sz w:val="24"/>
                <w:szCs w:val="24"/>
                <w:lang w:val="en-US" w:eastAsia="zh-CN" w:bidi="ar-AE"/>
              </w:rPr>
              <w:t>于</w:t>
            </w:r>
            <w:r>
              <w:rPr>
                <w:rFonts w:hint="eastAsia" w:ascii="Times New Roman" w:hAnsi="Times New Roman" w:eastAsia="宋体" w:cs="Times New Roman"/>
                <w:b w:val="0"/>
                <w:bCs/>
                <w:color w:val="000000"/>
                <w:kern w:val="0"/>
                <w:sz w:val="24"/>
                <w:szCs w:val="24"/>
                <w:lang w:val="en-US" w:eastAsia="zh-CN" w:bidi="ar-AE"/>
              </w:rPr>
              <w:t>2017</w:t>
            </w:r>
            <w:r>
              <w:rPr>
                <w:rFonts w:hint="default" w:ascii="Times New Roman" w:hAnsi="Times New Roman" w:eastAsia="宋体" w:cs="Times New Roman"/>
                <w:b w:val="0"/>
                <w:bCs/>
                <w:color w:val="000000"/>
                <w:kern w:val="0"/>
                <w:sz w:val="24"/>
                <w:szCs w:val="24"/>
                <w:lang w:val="en-US" w:eastAsia="zh-CN" w:bidi="ar-AE"/>
              </w:rPr>
              <w:t>年</w:t>
            </w:r>
            <w:r>
              <w:rPr>
                <w:rFonts w:hint="eastAsia" w:ascii="Times New Roman" w:hAnsi="Times New Roman" w:eastAsia="宋体" w:cs="Times New Roman"/>
                <w:b w:val="0"/>
                <w:bCs/>
                <w:color w:val="000000"/>
                <w:kern w:val="0"/>
                <w:sz w:val="24"/>
                <w:szCs w:val="24"/>
                <w:lang w:val="en-US" w:eastAsia="zh-CN" w:bidi="ar-AE"/>
              </w:rPr>
              <w:t>3</w:t>
            </w:r>
            <w:r>
              <w:rPr>
                <w:rFonts w:hint="default" w:ascii="Times New Roman" w:hAnsi="Times New Roman" w:eastAsia="宋体" w:cs="Times New Roman"/>
                <w:b w:val="0"/>
                <w:bCs/>
                <w:color w:val="000000"/>
                <w:kern w:val="0"/>
                <w:sz w:val="24"/>
                <w:szCs w:val="24"/>
                <w:lang w:val="en-US" w:eastAsia="zh-CN" w:bidi="ar-AE"/>
              </w:rPr>
              <w:t>月</w:t>
            </w:r>
            <w:r>
              <w:rPr>
                <w:rFonts w:hint="eastAsia" w:ascii="Times New Roman" w:hAnsi="Times New Roman" w:eastAsia="宋体" w:cs="Times New Roman"/>
                <w:b w:val="0"/>
                <w:bCs/>
                <w:color w:val="000000"/>
                <w:kern w:val="0"/>
                <w:sz w:val="24"/>
                <w:szCs w:val="24"/>
                <w:lang w:val="en-US" w:eastAsia="zh-CN" w:bidi="ar-AE"/>
              </w:rPr>
              <w:t>10</w:t>
            </w:r>
            <w:r>
              <w:rPr>
                <w:rFonts w:hint="default" w:ascii="Times New Roman" w:hAnsi="Times New Roman" w:eastAsia="宋体" w:cs="Times New Roman"/>
                <w:b w:val="0"/>
                <w:bCs/>
                <w:color w:val="000000"/>
                <w:kern w:val="0"/>
                <w:sz w:val="24"/>
                <w:szCs w:val="24"/>
                <w:lang w:val="en-US" w:eastAsia="zh-CN" w:bidi="ar-AE"/>
              </w:rPr>
              <w:t>日成立于</w:t>
            </w:r>
            <w:r>
              <w:rPr>
                <w:rFonts w:hint="eastAsia" w:ascii="Times New Roman" w:hAnsi="Times New Roman" w:eastAsia="宋体" w:cs="Times New Roman"/>
                <w:b w:val="0"/>
                <w:bCs/>
                <w:color w:val="000000"/>
                <w:kern w:val="0"/>
                <w:sz w:val="24"/>
                <w:szCs w:val="24"/>
                <w:lang w:val="en-US" w:eastAsia="zh-CN" w:bidi="ar-AE"/>
              </w:rPr>
              <w:t>广东省广州市，</w:t>
            </w:r>
            <w:r>
              <w:rPr>
                <w:rFonts w:hint="default" w:ascii="Times New Roman" w:hAnsi="Times New Roman" w:eastAsia="宋体" w:cs="Times New Roman"/>
                <w:b w:val="0"/>
                <w:bCs/>
                <w:color w:val="000000"/>
                <w:kern w:val="0"/>
                <w:sz w:val="24"/>
                <w:szCs w:val="24"/>
                <w:lang w:val="en-US" w:eastAsia="zh-CN" w:bidi="ar-AE"/>
              </w:rPr>
              <w:t>主要</w:t>
            </w:r>
            <w:r>
              <w:rPr>
                <w:rFonts w:hint="eastAsia" w:ascii="Times New Roman" w:hAnsi="Times New Roman" w:eastAsia="宋体" w:cs="Times New Roman"/>
                <w:b w:val="0"/>
                <w:bCs/>
                <w:color w:val="000000"/>
                <w:kern w:val="0"/>
                <w:sz w:val="24"/>
                <w:szCs w:val="24"/>
                <w:lang w:val="en-US" w:eastAsia="zh-CN" w:bidi="ar-AE"/>
              </w:rPr>
              <w:t>从事广州市内的住宅物业管理服务业务。</w:t>
            </w:r>
          </w:p>
          <w:p w14:paraId="6AE03652">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eastAsia" w:ascii="Times New Roman" w:hAnsi="Times New Roman" w:eastAsia="宋体" w:cs="Times New Roman"/>
                <w:b w:val="0"/>
                <w:bCs/>
                <w:color w:val="000000"/>
                <w:kern w:val="0"/>
                <w:sz w:val="24"/>
                <w:szCs w:val="24"/>
                <w:lang w:val="en-US" w:eastAsia="zh-CN" w:bidi="ar-AE"/>
              </w:rPr>
              <w:t>保利广州</w:t>
            </w:r>
            <w:r>
              <w:rPr>
                <w:rFonts w:hint="default" w:ascii="Times New Roman" w:hAnsi="Times New Roman" w:eastAsia="宋体" w:cs="Times New Roman"/>
                <w:b w:val="0"/>
                <w:bCs/>
                <w:color w:val="000000"/>
                <w:kern w:val="0"/>
                <w:sz w:val="24"/>
                <w:szCs w:val="24"/>
                <w:lang w:val="en-US" w:eastAsia="zh-CN" w:bidi="ar-AE"/>
              </w:rPr>
              <w:t>最终控制人为中国保利集团有限公司</w:t>
            </w:r>
            <w:r>
              <w:rPr>
                <w:rFonts w:hint="eastAsia"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US" w:eastAsia="zh-CN" w:bidi="ar-AE"/>
              </w:rPr>
              <w:t>主要</w:t>
            </w:r>
            <w:r>
              <w:rPr>
                <w:rFonts w:hint="eastAsia" w:ascii="Times New Roman" w:hAnsi="Times New Roman" w:eastAsia="宋体" w:cs="Times New Roman"/>
                <w:b w:val="0"/>
                <w:bCs/>
                <w:color w:val="000000"/>
                <w:kern w:val="0"/>
                <w:sz w:val="24"/>
                <w:szCs w:val="24"/>
                <w:lang w:val="en-US" w:eastAsia="zh-CN" w:bidi="ar-AE"/>
              </w:rPr>
              <w:t>从事</w:t>
            </w:r>
            <w:r>
              <w:rPr>
                <w:rFonts w:hint="default" w:ascii="Times New Roman" w:hAnsi="Times New Roman" w:eastAsia="宋体" w:cs="Times New Roman"/>
                <w:b w:val="0"/>
                <w:bCs/>
                <w:color w:val="000000"/>
                <w:kern w:val="0"/>
                <w:sz w:val="24"/>
                <w:szCs w:val="24"/>
                <w:lang w:val="en-US" w:eastAsia="zh-CN" w:bidi="ar-AE"/>
              </w:rPr>
              <w:t>房地产、贸易、工程等</w:t>
            </w:r>
            <w:r>
              <w:rPr>
                <w:rFonts w:hint="eastAsia" w:ascii="Times New Roman" w:hAnsi="Times New Roman" w:eastAsia="宋体" w:cs="Times New Roman"/>
                <w:b w:val="0"/>
                <w:bCs/>
                <w:color w:val="000000"/>
                <w:kern w:val="0"/>
                <w:sz w:val="24"/>
                <w:szCs w:val="24"/>
                <w:lang w:val="en-US" w:eastAsia="zh-CN" w:bidi="ar-AE"/>
              </w:rPr>
              <w:t>业务</w:t>
            </w:r>
            <w:r>
              <w:rPr>
                <w:rFonts w:hint="default" w:ascii="Times New Roman" w:hAnsi="Times New Roman" w:eastAsia="宋体" w:cs="Times New Roman"/>
                <w:b w:val="0"/>
                <w:bCs/>
                <w:color w:val="000000"/>
                <w:kern w:val="0"/>
                <w:sz w:val="24"/>
                <w:szCs w:val="24"/>
                <w:lang w:val="en-US" w:eastAsia="zh-CN" w:bidi="ar-AE"/>
              </w:rPr>
              <w:t>。</w:t>
            </w:r>
          </w:p>
        </w:tc>
      </w:tr>
      <w:tr w14:paraId="535D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1940" w:type="dxa"/>
            <w:vMerge w:val="continue"/>
            <w:shd w:val="clear" w:color="auto" w:fill="auto"/>
            <w:noWrap w:val="0"/>
            <w:vAlign w:val="center"/>
          </w:tcPr>
          <w:p w14:paraId="334AA8FF">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1607" w:type="dxa"/>
            <w:noWrap w:val="0"/>
            <w:vAlign w:val="center"/>
          </w:tcPr>
          <w:p w14:paraId="05FB3BB1">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default" w:ascii="Times New Roman" w:hAnsi="Times New Roman" w:eastAsia="宋体" w:cs="Times New Roman"/>
                <w:b w:val="0"/>
                <w:bCs/>
                <w:color w:val="000000"/>
                <w:kern w:val="0"/>
                <w:sz w:val="24"/>
                <w:szCs w:val="24"/>
                <w:lang w:val="en-US" w:eastAsia="zh-CN" w:bidi="ar-AE"/>
              </w:rPr>
              <w:t>2.</w:t>
            </w:r>
            <w:r>
              <w:rPr>
                <w:rFonts w:hint="eastAsia" w:cs="Times New Roman"/>
                <w:b w:val="0"/>
                <w:bCs/>
                <w:color w:val="000000"/>
                <w:kern w:val="0"/>
                <w:sz w:val="24"/>
                <w:szCs w:val="24"/>
                <w:lang w:val="en-US" w:eastAsia="zh-CN" w:bidi="ar-AE"/>
              </w:rPr>
              <w:t>广州翔龙</w:t>
            </w:r>
          </w:p>
        </w:tc>
        <w:tc>
          <w:tcPr>
            <w:tcW w:w="6093" w:type="dxa"/>
            <w:noWrap w:val="0"/>
            <w:vAlign w:val="center"/>
          </w:tcPr>
          <w:p w14:paraId="62288925">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ascii="Times New Roman" w:hAnsi="Times New Roman" w:eastAsia="宋体" w:cs="Times New Roman"/>
                <w:b w:val="0"/>
                <w:bCs/>
                <w:color w:val="000000"/>
                <w:kern w:val="0"/>
                <w:sz w:val="24"/>
                <w:szCs w:val="24"/>
                <w:lang w:val="en-US" w:eastAsia="zh-CN" w:bidi="ar-AE"/>
              </w:rPr>
            </w:pPr>
            <w:r>
              <w:rPr>
                <w:rFonts w:hint="eastAsia" w:ascii="Times New Roman" w:hAnsi="Times New Roman" w:eastAsia="宋体" w:cs="Times New Roman"/>
                <w:b w:val="0"/>
                <w:bCs/>
                <w:color w:val="000000"/>
                <w:kern w:val="0"/>
                <w:sz w:val="24"/>
                <w:szCs w:val="24"/>
                <w:lang w:val="en-US" w:eastAsia="zh-CN" w:bidi="ar-AE"/>
              </w:rPr>
              <w:t>广州翔龙</w:t>
            </w:r>
            <w:r>
              <w:rPr>
                <w:rFonts w:hint="default" w:ascii="Times New Roman" w:hAnsi="Times New Roman" w:eastAsia="宋体" w:cs="Times New Roman"/>
                <w:b w:val="0"/>
                <w:bCs/>
                <w:color w:val="000000"/>
                <w:kern w:val="0"/>
                <w:sz w:val="24"/>
                <w:szCs w:val="24"/>
                <w:lang w:val="en-US" w:eastAsia="zh-CN" w:bidi="ar-AE"/>
              </w:rPr>
              <w:t>于</w:t>
            </w:r>
            <w:r>
              <w:rPr>
                <w:rFonts w:hint="eastAsia" w:ascii="Times New Roman" w:hAnsi="Times New Roman" w:eastAsia="宋体" w:cs="Times New Roman"/>
                <w:b w:val="0"/>
                <w:bCs/>
                <w:color w:val="000000"/>
                <w:kern w:val="0"/>
                <w:sz w:val="24"/>
                <w:szCs w:val="24"/>
                <w:lang w:val="en-US" w:eastAsia="zh-CN" w:bidi="ar-AE"/>
              </w:rPr>
              <w:t>2017</w:t>
            </w:r>
            <w:r>
              <w:rPr>
                <w:rFonts w:hint="default" w:ascii="Times New Roman" w:hAnsi="Times New Roman" w:eastAsia="宋体" w:cs="Times New Roman"/>
                <w:b w:val="0"/>
                <w:bCs/>
                <w:color w:val="000000"/>
                <w:kern w:val="0"/>
                <w:sz w:val="24"/>
                <w:szCs w:val="24"/>
                <w:lang w:val="en-US" w:eastAsia="zh-CN" w:bidi="ar-AE"/>
              </w:rPr>
              <w:t>年</w:t>
            </w:r>
            <w:r>
              <w:rPr>
                <w:rFonts w:hint="eastAsia" w:ascii="Times New Roman" w:hAnsi="Times New Roman" w:eastAsia="宋体" w:cs="Times New Roman"/>
                <w:b w:val="0"/>
                <w:bCs/>
                <w:color w:val="000000"/>
                <w:kern w:val="0"/>
                <w:sz w:val="24"/>
                <w:szCs w:val="24"/>
                <w:lang w:val="en-US" w:eastAsia="zh-CN" w:bidi="ar-AE"/>
              </w:rPr>
              <w:t>5</w:t>
            </w:r>
            <w:r>
              <w:rPr>
                <w:rFonts w:hint="default" w:ascii="Times New Roman" w:hAnsi="Times New Roman" w:eastAsia="宋体" w:cs="Times New Roman"/>
                <w:b w:val="0"/>
                <w:bCs/>
                <w:color w:val="000000"/>
                <w:kern w:val="0"/>
                <w:sz w:val="24"/>
                <w:szCs w:val="24"/>
                <w:lang w:val="en-US" w:eastAsia="zh-CN" w:bidi="ar-AE"/>
              </w:rPr>
              <w:t>月</w:t>
            </w:r>
            <w:r>
              <w:rPr>
                <w:rFonts w:hint="eastAsia" w:ascii="Times New Roman" w:hAnsi="Times New Roman" w:eastAsia="宋体" w:cs="Times New Roman"/>
                <w:b w:val="0"/>
                <w:bCs/>
                <w:color w:val="000000"/>
                <w:kern w:val="0"/>
                <w:sz w:val="24"/>
                <w:szCs w:val="24"/>
                <w:lang w:val="en-US" w:eastAsia="zh-CN" w:bidi="ar-AE"/>
              </w:rPr>
              <w:t>10</w:t>
            </w:r>
            <w:r>
              <w:rPr>
                <w:rFonts w:hint="default" w:ascii="Times New Roman" w:hAnsi="Times New Roman" w:eastAsia="宋体" w:cs="Times New Roman"/>
                <w:b w:val="0"/>
                <w:bCs/>
                <w:color w:val="000000"/>
                <w:kern w:val="0"/>
                <w:sz w:val="24"/>
                <w:szCs w:val="24"/>
                <w:lang w:val="en-US" w:eastAsia="zh-CN" w:bidi="ar-AE"/>
              </w:rPr>
              <w:t>日成立于</w:t>
            </w:r>
            <w:r>
              <w:rPr>
                <w:rFonts w:hint="eastAsia" w:ascii="Times New Roman" w:hAnsi="Times New Roman" w:eastAsia="宋体" w:cs="Times New Roman"/>
                <w:b w:val="0"/>
                <w:bCs/>
                <w:color w:val="000000"/>
                <w:kern w:val="0"/>
                <w:sz w:val="24"/>
                <w:szCs w:val="24"/>
                <w:lang w:val="en-US" w:eastAsia="zh-CN" w:bidi="ar-AE"/>
              </w:rPr>
              <w:t>广东省广州市，</w:t>
            </w:r>
            <w:r>
              <w:rPr>
                <w:rFonts w:hint="default" w:ascii="Times New Roman" w:hAnsi="Times New Roman" w:eastAsia="宋体" w:cs="Times New Roman"/>
                <w:b w:val="0"/>
                <w:bCs/>
                <w:color w:val="000000"/>
                <w:kern w:val="0"/>
                <w:sz w:val="24"/>
                <w:szCs w:val="24"/>
                <w:lang w:val="en-US" w:eastAsia="zh-CN" w:bidi="ar-AE"/>
              </w:rPr>
              <w:t>主要</w:t>
            </w:r>
            <w:r>
              <w:rPr>
                <w:rFonts w:hint="eastAsia" w:ascii="Times New Roman" w:hAnsi="Times New Roman" w:eastAsia="宋体" w:cs="Times New Roman"/>
                <w:b w:val="0"/>
                <w:bCs/>
                <w:color w:val="000000"/>
                <w:kern w:val="0"/>
                <w:sz w:val="24"/>
                <w:szCs w:val="24"/>
                <w:lang w:val="en-US" w:eastAsia="zh-CN" w:bidi="ar-AE"/>
              </w:rPr>
              <w:t>从事住宅物业管理相关业务。</w:t>
            </w:r>
          </w:p>
          <w:p w14:paraId="14E1802E">
            <w:pPr>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GB" w:eastAsia="zh-CN" w:bidi="ar-AE"/>
              </w:rPr>
            </w:pPr>
            <w:r>
              <w:rPr>
                <w:rFonts w:hint="eastAsia" w:ascii="Times New Roman" w:hAnsi="Times New Roman" w:eastAsia="宋体" w:cs="Times New Roman"/>
                <w:b w:val="0"/>
                <w:bCs/>
                <w:color w:val="000000"/>
                <w:kern w:val="0"/>
                <w:sz w:val="24"/>
                <w:szCs w:val="24"/>
                <w:lang w:val="en-US" w:eastAsia="zh-CN" w:bidi="ar-AE"/>
              </w:rPr>
              <w:t>广州翔龙最终控制人为自然人，主要从事</w:t>
            </w:r>
            <w:r>
              <w:rPr>
                <w:rFonts w:hint="default" w:ascii="Times New Roman" w:hAnsi="Times New Roman" w:eastAsia="宋体" w:cs="Times New Roman"/>
                <w:b w:val="0"/>
                <w:bCs/>
                <w:color w:val="000000"/>
                <w:kern w:val="0"/>
                <w:sz w:val="24"/>
                <w:szCs w:val="24"/>
                <w:lang w:val="en-US" w:eastAsia="zh-CN" w:bidi="ar-AE"/>
              </w:rPr>
              <w:t>住宅物业管理服务等</w:t>
            </w:r>
            <w:r>
              <w:rPr>
                <w:rFonts w:hint="eastAsia" w:ascii="Times New Roman" w:hAnsi="Times New Roman" w:eastAsia="宋体" w:cs="Times New Roman"/>
                <w:b w:val="0"/>
                <w:bCs/>
                <w:color w:val="000000"/>
                <w:kern w:val="0"/>
                <w:sz w:val="24"/>
                <w:szCs w:val="24"/>
                <w:lang w:val="en-US" w:eastAsia="zh-CN" w:bidi="ar-AE"/>
              </w:rPr>
              <w:t>业务</w:t>
            </w:r>
            <w:r>
              <w:rPr>
                <w:rFonts w:hint="default" w:ascii="Times New Roman" w:hAnsi="Times New Roman" w:eastAsia="宋体" w:cs="Times New Roman"/>
                <w:b w:val="0"/>
                <w:bCs/>
                <w:color w:val="000000"/>
                <w:kern w:val="0"/>
                <w:sz w:val="24"/>
                <w:szCs w:val="24"/>
                <w:lang w:val="en-US" w:eastAsia="zh-CN" w:bidi="ar-AE"/>
              </w:rPr>
              <w:t>。</w:t>
            </w:r>
          </w:p>
        </w:tc>
      </w:tr>
      <w:tr w14:paraId="0FA99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40" w:type="dxa"/>
            <w:vMerge w:val="restart"/>
            <w:shd w:val="clear" w:color="auto" w:fill="auto"/>
            <w:noWrap w:val="0"/>
            <w:vAlign w:val="center"/>
          </w:tcPr>
          <w:p w14:paraId="33FEBCA2">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GB" w:eastAsia="zh-CN"/>
              </w:rPr>
              <w:t>简易案件理由（可以单选，也可以多选）</w:t>
            </w:r>
          </w:p>
        </w:tc>
        <w:tc>
          <w:tcPr>
            <w:tcW w:w="7700" w:type="dxa"/>
            <w:gridSpan w:val="2"/>
            <w:noWrap w:val="0"/>
            <w:vAlign w:val="center"/>
          </w:tcPr>
          <w:p w14:paraId="719B3D43">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FE"/>
            </w:r>
            <w:r>
              <w:rPr>
                <w:rFonts w:hint="default" w:ascii="Times New Roman" w:hAnsi="Times New Roman" w:eastAsia="宋体" w:cs="Times New Roman"/>
                <w:b w:val="0"/>
                <w:bCs/>
                <w:color w:val="000000"/>
                <w:kern w:val="0"/>
                <w:sz w:val="24"/>
                <w:szCs w:val="24"/>
                <w:lang w:val="en-GB" w:eastAsia="zh-CN" w:bidi="ar-AE"/>
              </w:rPr>
              <w:t xml:space="preserve"> 1</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在同一相关市场，参与集中的经营者所占的市场份额之和小于15%。</w:t>
            </w:r>
          </w:p>
        </w:tc>
      </w:tr>
      <w:tr w14:paraId="78E6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940" w:type="dxa"/>
            <w:vMerge w:val="continue"/>
            <w:shd w:val="clear" w:color="auto" w:fill="auto"/>
            <w:noWrap w:val="0"/>
            <w:vAlign w:val="center"/>
          </w:tcPr>
          <w:p w14:paraId="42C0CAE3">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7700" w:type="dxa"/>
            <w:gridSpan w:val="2"/>
            <w:noWrap w:val="0"/>
            <w:vAlign w:val="center"/>
          </w:tcPr>
          <w:p w14:paraId="41FCA57E">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FE"/>
            </w:r>
            <w:r>
              <w:rPr>
                <w:rFonts w:hint="default" w:ascii="Times New Roman" w:hAnsi="Times New Roman" w:eastAsia="宋体" w:cs="Times New Roman"/>
                <w:b w:val="0"/>
                <w:bCs/>
                <w:color w:val="000000"/>
                <w:kern w:val="0"/>
                <w:sz w:val="24"/>
                <w:szCs w:val="24"/>
                <w:lang w:val="en-GB" w:eastAsia="zh-CN" w:bidi="ar-AE"/>
              </w:rPr>
              <w:t xml:space="preserve"> 2</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在上下游市场，参与集中的经营者所占的市场份额均小于25%。</w:t>
            </w:r>
          </w:p>
        </w:tc>
      </w:tr>
      <w:tr w14:paraId="74A7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940" w:type="dxa"/>
            <w:vMerge w:val="continue"/>
            <w:shd w:val="clear" w:color="auto" w:fill="auto"/>
            <w:noWrap w:val="0"/>
            <w:vAlign w:val="center"/>
          </w:tcPr>
          <w:p w14:paraId="70DCD458">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7700" w:type="dxa"/>
            <w:gridSpan w:val="2"/>
            <w:noWrap w:val="0"/>
            <w:vAlign w:val="center"/>
          </w:tcPr>
          <w:p w14:paraId="3FAC6AED">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3</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不在同一相关市场也不存在上下游关系的参与集中的经营者，在与交易有关的每个市场所占的市场份额均小于25%。</w:t>
            </w:r>
          </w:p>
        </w:tc>
      </w:tr>
      <w:tr w14:paraId="1C8EF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940" w:type="dxa"/>
            <w:vMerge w:val="continue"/>
            <w:shd w:val="clear" w:color="auto" w:fill="auto"/>
            <w:noWrap w:val="0"/>
            <w:vAlign w:val="center"/>
          </w:tcPr>
          <w:p w14:paraId="6895BC94">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7700" w:type="dxa"/>
            <w:gridSpan w:val="2"/>
            <w:noWrap w:val="0"/>
            <w:vAlign w:val="center"/>
          </w:tcPr>
          <w:p w14:paraId="64632FE4">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4</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参与集中的经营者在中国境外设立合营企业，合营企业不在中国境内从事经济活动。</w:t>
            </w:r>
          </w:p>
        </w:tc>
      </w:tr>
      <w:tr w14:paraId="3A032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0" w:type="dxa"/>
            <w:vMerge w:val="continue"/>
            <w:shd w:val="clear" w:color="auto" w:fill="auto"/>
            <w:noWrap w:val="0"/>
            <w:vAlign w:val="center"/>
          </w:tcPr>
          <w:p w14:paraId="65980B9A">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7700" w:type="dxa"/>
            <w:gridSpan w:val="2"/>
            <w:noWrap w:val="0"/>
            <w:vAlign w:val="center"/>
          </w:tcPr>
          <w:p w14:paraId="3285C242">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5</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参与集中的经营者收购境外企业股权或资产的，该境外企业不在中国境内从事经济活动。</w:t>
            </w:r>
          </w:p>
        </w:tc>
      </w:tr>
      <w:tr w14:paraId="3276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940" w:type="dxa"/>
            <w:vMerge w:val="continue"/>
            <w:shd w:val="clear" w:color="auto" w:fill="auto"/>
            <w:noWrap w:val="0"/>
            <w:vAlign w:val="center"/>
          </w:tcPr>
          <w:p w14:paraId="1FDC2D40">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p>
        </w:tc>
        <w:tc>
          <w:tcPr>
            <w:tcW w:w="7700" w:type="dxa"/>
            <w:gridSpan w:val="2"/>
            <w:noWrap w:val="0"/>
            <w:vAlign w:val="center"/>
          </w:tcPr>
          <w:p w14:paraId="3310CDD0">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val="0"/>
                <w:bCs/>
                <w:color w:val="000000"/>
                <w:kern w:val="0"/>
                <w:sz w:val="24"/>
                <w:szCs w:val="24"/>
                <w:lang w:val="en-US" w:eastAsia="zh-CN" w:bidi="ar-AE"/>
              </w:rPr>
            </w:pPr>
            <w:r>
              <w:rPr>
                <w:rFonts w:hint="default" w:ascii="Times New Roman" w:hAnsi="Times New Roman" w:eastAsia="宋体" w:cs="Times New Roman"/>
                <w:b w:val="0"/>
                <w:bCs/>
                <w:color w:val="000000"/>
                <w:kern w:val="0"/>
                <w:sz w:val="24"/>
                <w:szCs w:val="24"/>
                <w:lang w:val="en-GB" w:eastAsia="zh-CN" w:bidi="ar-AE"/>
              </w:rPr>
              <w:sym w:font="Wingdings" w:char="00A8"/>
            </w:r>
            <w:r>
              <w:rPr>
                <w:rFonts w:hint="default" w:ascii="Times New Roman" w:hAnsi="Times New Roman" w:eastAsia="宋体" w:cs="Times New Roman"/>
                <w:b w:val="0"/>
                <w:bCs/>
                <w:color w:val="000000"/>
                <w:kern w:val="0"/>
                <w:sz w:val="24"/>
                <w:szCs w:val="24"/>
                <w:lang w:val="en-GB" w:eastAsia="zh-CN" w:bidi="ar-AE"/>
              </w:rPr>
              <w:t xml:space="preserve"> 6</w:t>
            </w:r>
            <w:r>
              <w:rPr>
                <w:rFonts w:hint="default" w:ascii="Times New Roman" w:hAnsi="Times New Roman" w:eastAsia="宋体" w:cs="Times New Roman"/>
                <w:b w:val="0"/>
                <w:bCs/>
                <w:color w:val="000000"/>
                <w:kern w:val="0"/>
                <w:sz w:val="24"/>
                <w:szCs w:val="24"/>
                <w:lang w:val="en-US" w:eastAsia="zh-CN" w:bidi="ar-AE"/>
              </w:rPr>
              <w:t>.</w:t>
            </w:r>
            <w:r>
              <w:rPr>
                <w:rFonts w:hint="default" w:ascii="Times New Roman" w:hAnsi="Times New Roman" w:eastAsia="宋体" w:cs="Times New Roman"/>
                <w:b w:val="0"/>
                <w:bCs/>
                <w:color w:val="000000"/>
                <w:kern w:val="0"/>
                <w:sz w:val="24"/>
                <w:szCs w:val="24"/>
                <w:lang w:val="en-GB" w:eastAsia="zh-CN" w:bidi="ar-AE"/>
              </w:rPr>
              <w:t>由两个以上的经营者共同控制的合营企业，通过集中被其中一个或一个以上经营者控制。</w:t>
            </w:r>
          </w:p>
        </w:tc>
      </w:tr>
      <w:tr w14:paraId="45AB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940" w:type="dxa"/>
            <w:shd w:val="clear" w:color="auto" w:fill="auto"/>
            <w:noWrap w:val="0"/>
            <w:vAlign w:val="center"/>
          </w:tcPr>
          <w:p w14:paraId="4DD01E33">
            <w:pPr>
              <w:pStyle w:val="2"/>
              <w:keepNext w:val="0"/>
              <w:keepLines w:val="0"/>
              <w:pageBreakBefore w:val="0"/>
              <w:widowControl/>
              <w:kinsoku/>
              <w:wordWrap/>
              <w:overflowPunct/>
              <w:topLinePunct w:val="0"/>
              <w:autoSpaceDE/>
              <w:autoSpaceDN/>
              <w:bidi w:val="0"/>
              <w:adjustRightInd w:val="0"/>
              <w:snapToGrid w:val="0"/>
              <w:spacing w:after="0" w:line="240" w:lineRule="auto"/>
              <w:jc w:val="center"/>
              <w:textAlignment w:val="auto"/>
              <w:rPr>
                <w:rFonts w:hint="default" w:ascii="Times New Roman" w:hAnsi="Times New Roman" w:eastAsia="宋体" w:cs="Times New Roman"/>
                <w:b w:val="0"/>
                <w:bCs/>
                <w:color w:val="000000"/>
                <w:kern w:val="0"/>
                <w:sz w:val="24"/>
                <w:szCs w:val="24"/>
                <w:lang w:val="en-US" w:eastAsia="zh-CN"/>
              </w:rPr>
            </w:pPr>
            <w:r>
              <w:rPr>
                <w:rFonts w:hint="default" w:ascii="Times New Roman" w:hAnsi="Times New Roman" w:eastAsia="宋体" w:cs="Times New Roman"/>
                <w:b w:val="0"/>
                <w:bCs/>
                <w:color w:val="000000"/>
                <w:kern w:val="0"/>
                <w:sz w:val="24"/>
                <w:szCs w:val="24"/>
                <w:lang w:val="en-US" w:eastAsia="zh-CN"/>
              </w:rPr>
              <w:t>备注</w:t>
            </w:r>
          </w:p>
        </w:tc>
        <w:tc>
          <w:tcPr>
            <w:tcW w:w="7700" w:type="dxa"/>
            <w:gridSpan w:val="2"/>
            <w:noWrap w:val="0"/>
            <w:vAlign w:val="center"/>
          </w:tcPr>
          <w:p w14:paraId="20DDB9A0">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bCs w:val="0"/>
                <w:color w:val="000000"/>
                <w:kern w:val="0"/>
                <w:sz w:val="24"/>
                <w:szCs w:val="24"/>
                <w:lang w:val="en-GB" w:eastAsia="zh-CN" w:bidi="ar-AE"/>
              </w:rPr>
            </w:pPr>
            <w:r>
              <w:rPr>
                <w:rFonts w:hint="eastAsia" w:cs="Times New Roman"/>
                <w:b/>
                <w:bCs w:val="0"/>
                <w:color w:val="000000"/>
                <w:kern w:val="0"/>
                <w:sz w:val="24"/>
                <w:szCs w:val="24"/>
                <w:lang w:val="en-US" w:eastAsia="zh-CN" w:bidi="ar-AE"/>
              </w:rPr>
              <w:t>横向重叠</w:t>
            </w:r>
            <w:r>
              <w:rPr>
                <w:rFonts w:hint="default" w:ascii="Times New Roman" w:hAnsi="Times New Roman" w:eastAsia="宋体" w:cs="Times New Roman"/>
                <w:b/>
                <w:bCs w:val="0"/>
                <w:color w:val="000000"/>
                <w:kern w:val="0"/>
                <w:sz w:val="24"/>
                <w:szCs w:val="24"/>
                <w:lang w:val="en-GB" w:eastAsia="zh-CN" w:bidi="ar-AE"/>
              </w:rPr>
              <w:t>：</w:t>
            </w:r>
          </w:p>
          <w:tbl>
            <w:tblPr>
              <w:tblStyle w:val="4"/>
              <w:tblW w:w="7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2495"/>
              <w:gridCol w:w="2495"/>
            </w:tblGrid>
            <w:tr w14:paraId="06B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94" w:type="dxa"/>
                  <w:noWrap w:val="0"/>
                  <w:vAlign w:val="top"/>
                </w:tcPr>
                <w:p w14:paraId="1A481EC1">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相关商品市场</w:t>
                  </w:r>
                </w:p>
              </w:tc>
              <w:tc>
                <w:tcPr>
                  <w:tcW w:w="2495" w:type="dxa"/>
                  <w:noWrap w:val="0"/>
                  <w:vAlign w:val="top"/>
                </w:tcPr>
                <w:p w14:paraId="20320C77">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相关地域市场</w:t>
                  </w:r>
                </w:p>
              </w:tc>
              <w:tc>
                <w:tcPr>
                  <w:tcW w:w="2495" w:type="dxa"/>
                  <w:noWrap w:val="0"/>
                  <w:vAlign w:val="top"/>
                </w:tcPr>
                <w:p w14:paraId="3DCDF42A">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2023年市场份额</w:t>
                  </w:r>
                </w:p>
              </w:tc>
            </w:tr>
            <w:tr w14:paraId="361DF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noWrap w:val="0"/>
                  <w:vAlign w:val="top"/>
                </w:tcPr>
                <w:p w14:paraId="5E454432">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住宅物业管理服务市场</w:t>
                  </w:r>
                </w:p>
              </w:tc>
              <w:tc>
                <w:tcPr>
                  <w:tcW w:w="2495" w:type="dxa"/>
                  <w:noWrap w:val="0"/>
                  <w:vAlign w:val="top"/>
                </w:tcPr>
                <w:p w14:paraId="10BD4ACC">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广州市</w:t>
                  </w:r>
                </w:p>
              </w:tc>
              <w:tc>
                <w:tcPr>
                  <w:tcW w:w="2495" w:type="dxa"/>
                  <w:noWrap w:val="0"/>
                  <w:vAlign w:val="top"/>
                </w:tcPr>
                <w:p w14:paraId="606B53BD">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保利广州：10-15%</w:t>
                  </w:r>
                </w:p>
                <w:p w14:paraId="53560A67">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广州翔龙：0-5%</w:t>
                  </w:r>
                </w:p>
                <w:p w14:paraId="7EAB39CF">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合营企业（预估）：0-5%</w:t>
                  </w:r>
                </w:p>
                <w:p w14:paraId="24847D99">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各方合计：10-15%</w:t>
                  </w:r>
                </w:p>
              </w:tc>
            </w:tr>
          </w:tbl>
          <w:p w14:paraId="5560E147">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ascii="Times New Roman" w:hAnsi="Times New Roman" w:eastAsia="宋体" w:cs="Times New Roman"/>
                <w:b/>
                <w:bCs w:val="0"/>
                <w:color w:val="000000"/>
                <w:kern w:val="0"/>
                <w:sz w:val="24"/>
                <w:szCs w:val="24"/>
                <w:lang w:val="en-GB" w:eastAsia="zh-CN" w:bidi="ar-AE"/>
              </w:rPr>
            </w:pPr>
          </w:p>
          <w:p w14:paraId="243D4417">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eastAsia" w:eastAsia="宋体" w:cs="Times New Roman"/>
                <w:b/>
                <w:bCs w:val="0"/>
                <w:color w:val="000000"/>
                <w:kern w:val="0"/>
                <w:sz w:val="24"/>
                <w:szCs w:val="24"/>
                <w:lang w:val="en-US" w:eastAsia="zh-CN" w:bidi="ar-AE"/>
              </w:rPr>
            </w:pPr>
            <w:r>
              <w:rPr>
                <w:rFonts w:hint="eastAsia" w:eastAsia="宋体" w:cs="Times New Roman"/>
                <w:b/>
                <w:bCs w:val="0"/>
                <w:color w:val="000000"/>
                <w:kern w:val="0"/>
                <w:sz w:val="24"/>
                <w:szCs w:val="24"/>
                <w:lang w:val="en-US" w:eastAsia="zh-CN" w:bidi="ar-AE"/>
              </w:rPr>
              <w:t>纵向关联：</w:t>
            </w:r>
          </w:p>
          <w:tbl>
            <w:tblPr>
              <w:tblStyle w:val="4"/>
              <w:tblW w:w="7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4"/>
              <w:gridCol w:w="2495"/>
              <w:gridCol w:w="2495"/>
            </w:tblGrid>
            <w:tr w14:paraId="59A6F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2494" w:type="dxa"/>
                  <w:noWrap w:val="0"/>
                  <w:vAlign w:val="top"/>
                </w:tcPr>
                <w:p w14:paraId="218AD29C">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相关商品市场</w:t>
                  </w:r>
                </w:p>
              </w:tc>
              <w:tc>
                <w:tcPr>
                  <w:tcW w:w="2495" w:type="dxa"/>
                  <w:noWrap w:val="0"/>
                  <w:vAlign w:val="top"/>
                </w:tcPr>
                <w:p w14:paraId="1D0C11C0">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相关地域市场</w:t>
                  </w:r>
                </w:p>
              </w:tc>
              <w:tc>
                <w:tcPr>
                  <w:tcW w:w="2495" w:type="dxa"/>
                  <w:noWrap w:val="0"/>
                  <w:vAlign w:val="top"/>
                </w:tcPr>
                <w:p w14:paraId="00D2DAAD">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2023年市场份额</w:t>
                  </w:r>
                </w:p>
              </w:tc>
            </w:tr>
            <w:tr w14:paraId="28689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4" w:type="dxa"/>
                  <w:noWrap w:val="0"/>
                  <w:vAlign w:val="top"/>
                </w:tcPr>
                <w:p w14:paraId="5C7B3A69">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上游：商品房开发与销售市场</w:t>
                  </w:r>
                </w:p>
                <w:p w14:paraId="43219289">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下游：住宅物业管理服务市场</w:t>
                  </w:r>
                </w:p>
              </w:tc>
              <w:tc>
                <w:tcPr>
                  <w:tcW w:w="2495" w:type="dxa"/>
                  <w:noWrap w:val="0"/>
                  <w:vAlign w:val="top"/>
                </w:tcPr>
                <w:p w14:paraId="0C34EDD6">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eastAsia="宋体" w:cs="Times New Roman"/>
                      <w:b w:val="0"/>
                      <w:bCs/>
                      <w:color w:val="000000"/>
                      <w:kern w:val="0"/>
                      <w:sz w:val="24"/>
                      <w:lang w:val="en-US" w:eastAsia="zh-CN" w:bidi="ar-AE"/>
                    </w:rPr>
                    <w:t>上游：</w:t>
                  </w:r>
                  <w:r>
                    <w:rPr>
                      <w:rFonts w:hint="eastAsia" w:ascii="Times New Roman" w:hAnsi="Times New Roman" w:eastAsia="宋体" w:cs="Times New Roman"/>
                      <w:b w:val="0"/>
                      <w:bCs/>
                      <w:color w:val="000000"/>
                      <w:kern w:val="0"/>
                      <w:sz w:val="24"/>
                      <w:lang w:val="en-US" w:eastAsia="zh-CN" w:bidi="ar-AE"/>
                    </w:rPr>
                    <w:t>广州市</w:t>
                  </w:r>
                </w:p>
                <w:p w14:paraId="1B359EA1">
                  <w:pPr>
                    <w:pStyle w:val="2"/>
                    <w:widowControl/>
                    <w:adjustRightInd w:val="0"/>
                    <w:snapToGrid w:val="0"/>
                    <w:spacing w:after="0"/>
                    <w:rPr>
                      <w:rFonts w:hint="default" w:ascii="Times New Roman" w:hAnsi="Times New Roman" w:eastAsia="宋体" w:cs="Times New Roman"/>
                      <w:b w:val="0"/>
                      <w:bCs/>
                      <w:color w:val="000000"/>
                      <w:kern w:val="0"/>
                      <w:sz w:val="24"/>
                      <w:lang w:val="en-US" w:eastAsia="zh-CN" w:bidi="ar-AE"/>
                    </w:rPr>
                  </w:pPr>
                  <w:r>
                    <w:rPr>
                      <w:rFonts w:hint="eastAsia" w:eastAsia="宋体" w:cs="Times New Roman"/>
                      <w:b w:val="0"/>
                      <w:bCs/>
                      <w:color w:val="000000"/>
                      <w:kern w:val="0"/>
                      <w:sz w:val="24"/>
                      <w:lang w:val="en-US" w:eastAsia="zh-CN" w:bidi="ar-AE"/>
                    </w:rPr>
                    <w:t>下游：广州市</w:t>
                  </w:r>
                </w:p>
              </w:tc>
              <w:tc>
                <w:tcPr>
                  <w:tcW w:w="2495" w:type="dxa"/>
                  <w:noWrap w:val="0"/>
                  <w:vAlign w:val="top"/>
                </w:tcPr>
                <w:p w14:paraId="4CC075FC">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上游：广州市商品房开发与销售市场</w:t>
                  </w:r>
                </w:p>
                <w:p w14:paraId="72925993">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保利广州：10-15%</w:t>
                  </w:r>
                </w:p>
                <w:p w14:paraId="736CC542">
                  <w:pPr>
                    <w:pStyle w:val="2"/>
                    <w:widowControl/>
                    <w:adjustRightInd w:val="0"/>
                    <w:snapToGrid w:val="0"/>
                    <w:spacing w:after="0"/>
                    <w:rPr>
                      <w:rFonts w:hint="eastAsia" w:ascii="Times New Roman" w:hAnsi="Times New Roman" w:eastAsia="宋体" w:cs="Times New Roman"/>
                      <w:b w:val="0"/>
                      <w:bCs/>
                      <w:color w:val="000000"/>
                      <w:kern w:val="0"/>
                      <w:sz w:val="24"/>
                      <w:lang w:val="en-US" w:eastAsia="zh-CN" w:bidi="ar-AE"/>
                    </w:rPr>
                  </w:pPr>
                  <w:r>
                    <w:rPr>
                      <w:rFonts w:hint="eastAsia" w:ascii="Times New Roman" w:hAnsi="Times New Roman" w:eastAsia="宋体" w:cs="Times New Roman"/>
                      <w:b w:val="0"/>
                      <w:bCs/>
                      <w:color w:val="000000"/>
                      <w:kern w:val="0"/>
                      <w:sz w:val="24"/>
                      <w:lang w:val="en-US" w:eastAsia="zh-CN" w:bidi="ar-AE"/>
                    </w:rPr>
                    <w:t>下游：如上所述</w:t>
                  </w:r>
                </w:p>
              </w:tc>
            </w:tr>
          </w:tbl>
          <w:p w14:paraId="4AAB03FD">
            <w:pPr>
              <w:pStyle w:val="2"/>
              <w:keepNext w:val="0"/>
              <w:keepLines w:val="0"/>
              <w:pageBreakBefore w:val="0"/>
              <w:widowControl/>
              <w:kinsoku/>
              <w:wordWrap/>
              <w:overflowPunct/>
              <w:topLinePunct w:val="0"/>
              <w:autoSpaceDE/>
              <w:autoSpaceDN/>
              <w:bidi w:val="0"/>
              <w:adjustRightInd w:val="0"/>
              <w:snapToGrid w:val="0"/>
              <w:spacing w:after="0" w:line="240" w:lineRule="auto"/>
              <w:jc w:val="both"/>
              <w:textAlignment w:val="auto"/>
              <w:rPr>
                <w:rFonts w:hint="default" w:cs="Times New Roman"/>
                <w:b w:val="0"/>
                <w:bCs/>
                <w:color w:val="000000"/>
                <w:kern w:val="0"/>
                <w:sz w:val="24"/>
                <w:szCs w:val="24"/>
                <w:lang w:val="en-US" w:eastAsia="zh-CN" w:bidi="ar-AE"/>
              </w:rPr>
            </w:pPr>
          </w:p>
        </w:tc>
      </w:tr>
    </w:tbl>
    <w:p w14:paraId="092D3C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8F2417"/>
    <w:rsid w:val="628F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2025-02-14T01:37:00Z</dcterms:created>
  <dc:creator>胡翌婧</dc:creator>
  <cp:lastModifiedBy>胡翌婧</cp:lastModifiedBy>
  <dcterms:modified xsi:type="dcterms:W3CDTF">2025-02-14T01:38:18Z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277070CB9A7E4F11B27263199F56A242_11</vt:lpwstr>
  </property>
  <property fmtid="{D5CDD505-2E9C-101B-9397-08002B2CF9AE}" pid="4" name="KSOTemplateDocerSaveRecord">
    <vt:lpwstr>eyJoZGlkIjoiODNjM2VkZWUwYjdkZDYzZGY2NmZiZGNiZGIyMjFjYWIiLCJ1c2VySWQiOiIyNDQ2MzYxMzgifQ==</vt:lpwstr>
  </property>
</Properties>
</file>