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F0C94">
      <w:pPr>
        <w:jc w:val="center"/>
        <w:rPr>
          <w:rFonts w:hint="eastAsia" w:ascii="黑体" w:hAnsi="黑体" w:eastAsia="黑体" w:cs="黑体"/>
          <w:bCs/>
          <w:sz w:val="36"/>
          <w:szCs w:val="36"/>
        </w:rPr>
      </w:pPr>
      <w:bookmarkStart w:id="2" w:name="_GoBack"/>
      <w:r>
        <w:rPr>
          <w:rFonts w:hint="eastAsia" w:ascii="黑体" w:hAnsi="黑体" w:eastAsia="黑体" w:cs="黑体"/>
          <w:bCs/>
          <w:sz w:val="36"/>
          <w:szCs w:val="36"/>
        </w:rPr>
        <w:t>经营者集中简易案件公示表</w:t>
      </w:r>
    </w:p>
    <w:bookmarkEnd w:id="2"/>
    <w:tbl>
      <w:tblPr>
        <w:tblStyle w:val="5"/>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1607"/>
        <w:gridCol w:w="6093"/>
      </w:tblGrid>
      <w:tr w14:paraId="3184D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940" w:type="dxa"/>
            <w:shd w:val="clear" w:color="auto" w:fill="auto"/>
            <w:vAlign w:val="center"/>
          </w:tcPr>
          <w:p w14:paraId="551C02EE">
            <w:pPr>
              <w:pStyle w:val="3"/>
              <w:adjustRightInd w:val="0"/>
              <w:snapToGrid w:val="0"/>
              <w:spacing w:after="0"/>
              <w:jc w:val="center"/>
              <w:rPr>
                <w:rFonts w:cs="宋体"/>
                <w:bCs/>
                <w:color w:val="000000"/>
                <w:sz w:val="24"/>
                <w:szCs w:val="24"/>
              </w:rPr>
            </w:pPr>
            <w:r>
              <w:rPr>
                <w:rFonts w:hint="eastAsia" w:cs="宋体"/>
                <w:bCs/>
                <w:color w:val="000000"/>
                <w:sz w:val="24"/>
                <w:szCs w:val="24"/>
              </w:rPr>
              <w:t>案件名称</w:t>
            </w:r>
          </w:p>
        </w:tc>
        <w:tc>
          <w:tcPr>
            <w:tcW w:w="7700" w:type="dxa"/>
            <w:gridSpan w:val="2"/>
            <w:vAlign w:val="center"/>
          </w:tcPr>
          <w:p w14:paraId="4CC52958">
            <w:pPr>
              <w:adjustRightInd w:val="0"/>
              <w:snapToGrid w:val="0"/>
              <w:spacing w:after="0"/>
              <w:rPr>
                <w:rFonts w:cs="宋体"/>
                <w:bCs/>
                <w:color w:val="000000"/>
                <w:sz w:val="24"/>
                <w:szCs w:val="24"/>
              </w:rPr>
            </w:pPr>
            <w:r>
              <w:rPr>
                <w:rFonts w:hint="eastAsia"/>
                <w:sz w:val="24"/>
                <w:szCs w:val="24"/>
              </w:rPr>
              <w:t>TCL实业控股股份有限公司与华晨中国汽车控股有限公司新设合营企业案</w:t>
            </w:r>
          </w:p>
        </w:tc>
      </w:tr>
      <w:tr w14:paraId="49EEE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940" w:type="dxa"/>
            <w:shd w:val="clear" w:color="auto" w:fill="auto"/>
            <w:vAlign w:val="center"/>
          </w:tcPr>
          <w:p w14:paraId="2E980C90">
            <w:pPr>
              <w:pStyle w:val="3"/>
              <w:adjustRightInd w:val="0"/>
              <w:snapToGrid w:val="0"/>
              <w:spacing w:after="0"/>
              <w:jc w:val="center"/>
              <w:rPr>
                <w:rFonts w:cs="宋体"/>
                <w:bCs/>
                <w:color w:val="000000"/>
                <w:sz w:val="24"/>
                <w:szCs w:val="24"/>
              </w:rPr>
            </w:pPr>
            <w:r>
              <w:rPr>
                <w:rFonts w:hint="eastAsia" w:cs="宋体"/>
                <w:bCs/>
                <w:color w:val="000000"/>
                <w:sz w:val="24"/>
                <w:szCs w:val="24"/>
              </w:rPr>
              <w:t>交易概况（限200字内）</w:t>
            </w:r>
          </w:p>
        </w:tc>
        <w:tc>
          <w:tcPr>
            <w:tcW w:w="7700" w:type="dxa"/>
            <w:gridSpan w:val="2"/>
            <w:vAlign w:val="center"/>
          </w:tcPr>
          <w:p w14:paraId="77C2E12E">
            <w:pPr>
              <w:adjustRightInd w:val="0"/>
              <w:snapToGrid w:val="0"/>
              <w:spacing w:after="0"/>
              <w:rPr>
                <w:rFonts w:cs="宋体"/>
                <w:sz w:val="24"/>
                <w:szCs w:val="24"/>
              </w:rPr>
            </w:pPr>
            <w:r>
              <w:rPr>
                <w:rFonts w:hint="eastAsia"/>
                <w:sz w:val="24"/>
                <w:szCs w:val="24"/>
              </w:rPr>
              <w:t>TCL实业控股股份有限公司（“TCL实业”）</w:t>
            </w:r>
            <w:r>
              <w:rPr>
                <w:sz w:val="24"/>
                <w:szCs w:val="24"/>
              </w:rPr>
              <w:t>与</w:t>
            </w:r>
            <w:r>
              <w:rPr>
                <w:rFonts w:hint="eastAsia"/>
                <w:sz w:val="24"/>
                <w:szCs w:val="24"/>
              </w:rPr>
              <w:t>华晨中国汽车控股有限公司（“华晨中国”）签署协议，拟共同设立合营企业。合营企业主要从事车载显示、汽车智能座舱及智能驾驶等业务。交易后，TCL实业和华晨中国将分别持有合营企业50%、50%的股权，共同控制合营企业。</w:t>
            </w:r>
          </w:p>
        </w:tc>
      </w:tr>
      <w:tr w14:paraId="6CA1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940" w:type="dxa"/>
            <w:vMerge w:val="restart"/>
            <w:shd w:val="clear" w:color="auto" w:fill="auto"/>
            <w:vAlign w:val="center"/>
          </w:tcPr>
          <w:p w14:paraId="0059DE79">
            <w:pPr>
              <w:pStyle w:val="3"/>
              <w:adjustRightInd w:val="0"/>
              <w:snapToGrid w:val="0"/>
              <w:spacing w:after="0"/>
              <w:jc w:val="center"/>
              <w:rPr>
                <w:rFonts w:cs="宋体"/>
                <w:bCs/>
                <w:color w:val="000000"/>
                <w:sz w:val="24"/>
                <w:szCs w:val="24"/>
              </w:rPr>
            </w:pPr>
            <w:r>
              <w:rPr>
                <w:rFonts w:hint="eastAsia" w:cs="宋体"/>
                <w:bCs/>
                <w:color w:val="000000"/>
                <w:sz w:val="24"/>
                <w:szCs w:val="24"/>
              </w:rPr>
              <w:t>参与集中的经营者简介（每个限100字以内）</w:t>
            </w:r>
          </w:p>
        </w:tc>
        <w:tc>
          <w:tcPr>
            <w:tcW w:w="1607" w:type="dxa"/>
            <w:vAlign w:val="center"/>
          </w:tcPr>
          <w:p w14:paraId="684949A0">
            <w:pPr>
              <w:pStyle w:val="3"/>
              <w:adjustRightInd w:val="0"/>
              <w:snapToGrid w:val="0"/>
              <w:spacing w:after="0"/>
              <w:rPr>
                <w:rFonts w:cs="宋体"/>
                <w:bCs/>
                <w:color w:val="000000"/>
                <w:sz w:val="24"/>
                <w:szCs w:val="24"/>
              </w:rPr>
            </w:pPr>
            <w:r>
              <w:rPr>
                <w:rFonts w:hint="eastAsia" w:cs="宋体"/>
                <w:bCs/>
                <w:color w:val="000000"/>
                <w:sz w:val="24"/>
                <w:szCs w:val="24"/>
              </w:rPr>
              <w:t>1.</w:t>
            </w:r>
            <w:r>
              <w:rPr>
                <w:rFonts w:hint="eastAsia"/>
                <w:sz w:val="24"/>
                <w:szCs w:val="24"/>
              </w:rPr>
              <w:t xml:space="preserve"> TCL实业</w:t>
            </w:r>
          </w:p>
        </w:tc>
        <w:tc>
          <w:tcPr>
            <w:tcW w:w="6093" w:type="dxa"/>
            <w:vAlign w:val="center"/>
          </w:tcPr>
          <w:p w14:paraId="42E38229">
            <w:pPr>
              <w:adjustRightInd w:val="0"/>
              <w:snapToGrid w:val="0"/>
              <w:spacing w:after="0"/>
              <w:rPr>
                <w:rFonts w:cs="宋体"/>
                <w:sz w:val="24"/>
                <w:szCs w:val="24"/>
              </w:rPr>
            </w:pPr>
            <w:r>
              <w:rPr>
                <w:rFonts w:hint="eastAsia"/>
                <w:sz w:val="24"/>
                <w:szCs w:val="24"/>
              </w:rPr>
              <w:t>TCL实业</w:t>
            </w:r>
            <w:r>
              <w:rPr>
                <w:rFonts w:hint="eastAsia" w:cs="宋体"/>
                <w:bCs/>
                <w:color w:val="000000"/>
                <w:sz w:val="24"/>
                <w:szCs w:val="24"/>
              </w:rPr>
              <w:t>于</w:t>
            </w:r>
            <w:r>
              <w:rPr>
                <w:rFonts w:hint="eastAsia"/>
                <w:sz w:val="24"/>
                <w:szCs w:val="24"/>
              </w:rPr>
              <w:t>2018年9月17日</w:t>
            </w:r>
            <w:r>
              <w:rPr>
                <w:rFonts w:hint="eastAsia" w:cs="宋体"/>
                <w:bCs/>
                <w:color w:val="000000"/>
                <w:sz w:val="24"/>
                <w:szCs w:val="24"/>
              </w:rPr>
              <w:t>成立于广东省惠州市，主要从事</w:t>
            </w:r>
            <w:r>
              <w:rPr>
                <w:rFonts w:hint="eastAsia"/>
                <w:sz w:val="24"/>
                <w:szCs w:val="24"/>
              </w:rPr>
              <w:t>智能终端业务，公司主业涉及泛智屏、智能移动及连接设备、冰箱、洗衣机、空调、智能家居等领域。</w:t>
            </w:r>
          </w:p>
          <w:p w14:paraId="5199B918">
            <w:pPr>
              <w:adjustRightInd w:val="0"/>
              <w:snapToGrid w:val="0"/>
              <w:spacing w:after="0"/>
              <w:rPr>
                <w:rFonts w:cs="宋体"/>
                <w:sz w:val="24"/>
                <w:szCs w:val="24"/>
              </w:rPr>
            </w:pPr>
            <w:r>
              <w:rPr>
                <w:rFonts w:hint="eastAsia"/>
                <w:sz w:val="24"/>
                <w:szCs w:val="24"/>
              </w:rPr>
              <w:t>TCL实业最终控制人为自然人，主要从事智能终端业务。</w:t>
            </w:r>
          </w:p>
        </w:tc>
      </w:tr>
      <w:tr w14:paraId="743E2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940" w:type="dxa"/>
            <w:vMerge w:val="continue"/>
            <w:shd w:val="clear" w:color="auto" w:fill="auto"/>
            <w:vAlign w:val="center"/>
          </w:tcPr>
          <w:p w14:paraId="30837FFD">
            <w:pPr>
              <w:pStyle w:val="3"/>
              <w:adjustRightInd w:val="0"/>
              <w:snapToGrid w:val="0"/>
              <w:spacing w:after="0"/>
              <w:jc w:val="center"/>
              <w:rPr>
                <w:rFonts w:cs="宋体"/>
                <w:bCs/>
                <w:color w:val="000000"/>
                <w:sz w:val="24"/>
                <w:szCs w:val="24"/>
              </w:rPr>
            </w:pPr>
          </w:p>
        </w:tc>
        <w:tc>
          <w:tcPr>
            <w:tcW w:w="1607" w:type="dxa"/>
            <w:vAlign w:val="center"/>
          </w:tcPr>
          <w:p w14:paraId="37D70F10">
            <w:pPr>
              <w:pStyle w:val="3"/>
              <w:adjustRightInd w:val="0"/>
              <w:snapToGrid w:val="0"/>
              <w:spacing w:after="0"/>
              <w:rPr>
                <w:rFonts w:cs="宋体"/>
                <w:bCs/>
                <w:color w:val="000000"/>
                <w:sz w:val="24"/>
                <w:szCs w:val="24"/>
              </w:rPr>
            </w:pPr>
            <w:r>
              <w:rPr>
                <w:rFonts w:hint="eastAsia" w:cs="宋体"/>
                <w:bCs/>
                <w:color w:val="000000"/>
                <w:sz w:val="24"/>
                <w:szCs w:val="24"/>
              </w:rPr>
              <w:t>2.</w:t>
            </w:r>
            <w:r>
              <w:rPr>
                <w:rFonts w:hint="eastAsia"/>
                <w:sz w:val="24"/>
                <w:szCs w:val="24"/>
              </w:rPr>
              <w:t xml:space="preserve"> </w:t>
            </w:r>
            <w:bookmarkStart w:id="0" w:name="OLE_LINK3"/>
            <w:r>
              <w:rPr>
                <w:rFonts w:hint="eastAsia"/>
                <w:sz w:val="24"/>
                <w:szCs w:val="24"/>
              </w:rPr>
              <w:t>华晨中国</w:t>
            </w:r>
            <w:bookmarkEnd w:id="0"/>
          </w:p>
        </w:tc>
        <w:tc>
          <w:tcPr>
            <w:tcW w:w="6093" w:type="dxa"/>
            <w:vAlign w:val="center"/>
          </w:tcPr>
          <w:p w14:paraId="1B7445D4">
            <w:pPr>
              <w:adjustRightInd w:val="0"/>
              <w:snapToGrid w:val="0"/>
              <w:spacing w:after="0"/>
              <w:rPr>
                <w:rFonts w:cs="宋体"/>
                <w:bCs/>
                <w:color w:val="000000"/>
                <w:sz w:val="24"/>
                <w:szCs w:val="24"/>
              </w:rPr>
            </w:pPr>
            <w:bookmarkStart w:id="1" w:name="OLE_LINK2"/>
            <w:r>
              <w:rPr>
                <w:rFonts w:hint="eastAsia"/>
                <w:sz w:val="24"/>
                <w:szCs w:val="24"/>
              </w:rPr>
              <w:t>华晨中国</w:t>
            </w:r>
            <w:bookmarkEnd w:id="1"/>
            <w:r>
              <w:rPr>
                <w:rFonts w:hint="eastAsia" w:cs="宋体"/>
                <w:bCs/>
                <w:color w:val="000000"/>
                <w:sz w:val="24"/>
                <w:szCs w:val="24"/>
              </w:rPr>
              <w:t>于</w:t>
            </w:r>
            <w:r>
              <w:rPr>
                <w:rFonts w:hint="eastAsia"/>
                <w:bCs/>
                <w:sz w:val="24"/>
                <w:szCs w:val="24"/>
              </w:rPr>
              <w:t>1992年6月9日</w:t>
            </w:r>
            <w:r>
              <w:rPr>
                <w:rFonts w:hint="eastAsia" w:cs="宋体"/>
                <w:bCs/>
                <w:color w:val="000000"/>
                <w:sz w:val="24"/>
                <w:szCs w:val="24"/>
              </w:rPr>
              <w:t>成立于</w:t>
            </w:r>
            <w:r>
              <w:rPr>
                <w:rFonts w:hint="eastAsia"/>
                <w:sz w:val="24"/>
                <w:szCs w:val="24"/>
              </w:rPr>
              <w:t>百慕大</w:t>
            </w:r>
            <w:r>
              <w:rPr>
                <w:rFonts w:hint="eastAsia" w:cs="宋体"/>
                <w:bCs/>
                <w:color w:val="000000"/>
                <w:sz w:val="24"/>
                <w:szCs w:val="24"/>
              </w:rPr>
              <w:t>，为香港交易所上市公司，主要从事</w:t>
            </w:r>
            <w:r>
              <w:rPr>
                <w:rFonts w:hint="eastAsia"/>
                <w:sz w:val="24"/>
                <w:szCs w:val="24"/>
              </w:rPr>
              <w:t>汽车零部件的制造与销售、汽车金融服务。</w:t>
            </w:r>
          </w:p>
          <w:p w14:paraId="2C8B9100">
            <w:pPr>
              <w:adjustRightInd w:val="0"/>
              <w:snapToGrid w:val="0"/>
              <w:spacing w:after="0"/>
              <w:rPr>
                <w:sz w:val="24"/>
                <w:szCs w:val="24"/>
              </w:rPr>
            </w:pPr>
            <w:r>
              <w:rPr>
                <w:rFonts w:hint="eastAsia"/>
                <w:sz w:val="24"/>
                <w:szCs w:val="24"/>
              </w:rPr>
              <w:t>华晨中国</w:t>
            </w:r>
            <w:r>
              <w:rPr>
                <w:rFonts w:hint="eastAsia" w:cs="宋体"/>
                <w:bCs/>
                <w:color w:val="000000"/>
                <w:sz w:val="24"/>
                <w:szCs w:val="24"/>
              </w:rPr>
              <w:t>无最终控制人。</w:t>
            </w:r>
          </w:p>
        </w:tc>
      </w:tr>
      <w:tr w14:paraId="4C2F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940" w:type="dxa"/>
            <w:vMerge w:val="restart"/>
            <w:shd w:val="clear" w:color="auto" w:fill="auto"/>
            <w:vAlign w:val="center"/>
          </w:tcPr>
          <w:p w14:paraId="017A4019">
            <w:pPr>
              <w:pStyle w:val="3"/>
              <w:adjustRightInd w:val="0"/>
              <w:snapToGrid w:val="0"/>
              <w:spacing w:after="0"/>
              <w:jc w:val="center"/>
              <w:rPr>
                <w:rFonts w:cs="宋体"/>
                <w:bCs/>
                <w:color w:val="000000"/>
                <w:sz w:val="24"/>
                <w:szCs w:val="24"/>
              </w:rPr>
            </w:pPr>
            <w:r>
              <w:rPr>
                <w:rFonts w:hint="eastAsia" w:cs="宋体"/>
                <w:bCs/>
                <w:color w:val="000000"/>
                <w:sz w:val="24"/>
                <w:szCs w:val="24"/>
              </w:rPr>
              <w:t>简易案件理由（可以单选，也可以多选）</w:t>
            </w:r>
          </w:p>
        </w:tc>
        <w:tc>
          <w:tcPr>
            <w:tcW w:w="7700" w:type="dxa"/>
            <w:gridSpan w:val="2"/>
            <w:vAlign w:val="center"/>
          </w:tcPr>
          <w:p w14:paraId="7113B7C5">
            <w:pPr>
              <w:pStyle w:val="3"/>
              <w:adjustRightInd w:val="0"/>
              <w:snapToGrid w:val="0"/>
              <w:spacing w:after="0"/>
              <w:rPr>
                <w:rFonts w:cs="宋体"/>
                <w:bCs/>
                <w:color w:val="000000"/>
                <w:sz w:val="24"/>
                <w:szCs w:val="24"/>
              </w:rPr>
            </w:pPr>
            <w:r>
              <w:rPr>
                <w:rFonts w:hint="eastAsia" w:cs="宋体"/>
                <w:bCs/>
                <w:color w:val="000000"/>
                <w:sz w:val="24"/>
                <w:szCs w:val="24"/>
              </w:rPr>
              <w:sym w:font="Wingdings" w:char="00A8"/>
            </w:r>
            <w:r>
              <w:rPr>
                <w:rFonts w:hint="eastAsia" w:cs="宋体"/>
                <w:bCs/>
                <w:color w:val="000000"/>
                <w:sz w:val="24"/>
                <w:szCs w:val="24"/>
              </w:rPr>
              <w:t xml:space="preserve"> 1、在同一相关市场，所有参与集中的经营者所占市场份额之和小于15%。</w:t>
            </w:r>
          </w:p>
        </w:tc>
      </w:tr>
      <w:tr w14:paraId="3CDEE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940" w:type="dxa"/>
            <w:vMerge w:val="continue"/>
            <w:shd w:val="clear" w:color="auto" w:fill="auto"/>
            <w:vAlign w:val="center"/>
          </w:tcPr>
          <w:p w14:paraId="5284266A">
            <w:pPr>
              <w:pStyle w:val="3"/>
              <w:adjustRightInd w:val="0"/>
              <w:snapToGrid w:val="0"/>
              <w:spacing w:after="0"/>
              <w:jc w:val="center"/>
              <w:rPr>
                <w:rFonts w:cs="宋体"/>
                <w:bCs/>
                <w:color w:val="000000"/>
                <w:sz w:val="24"/>
                <w:szCs w:val="24"/>
              </w:rPr>
            </w:pPr>
          </w:p>
        </w:tc>
        <w:tc>
          <w:tcPr>
            <w:tcW w:w="7700" w:type="dxa"/>
            <w:gridSpan w:val="2"/>
            <w:vAlign w:val="center"/>
          </w:tcPr>
          <w:p w14:paraId="3BBE83F9">
            <w:pPr>
              <w:pStyle w:val="3"/>
              <w:adjustRightInd w:val="0"/>
              <w:snapToGrid w:val="0"/>
              <w:spacing w:after="0"/>
              <w:rPr>
                <w:rFonts w:cs="宋体"/>
                <w:bCs/>
                <w:color w:val="000000"/>
                <w:sz w:val="24"/>
                <w:szCs w:val="24"/>
              </w:rPr>
            </w:pPr>
            <w:r>
              <w:rPr>
                <w:rFonts w:hint="eastAsia" w:cs="宋体"/>
                <w:bCs/>
                <w:color w:val="000000"/>
                <w:sz w:val="24"/>
                <w:szCs w:val="24"/>
              </w:rPr>
              <w:sym w:font="Wingdings" w:char="00FE"/>
            </w:r>
            <w:r>
              <w:rPr>
                <w:rFonts w:hint="eastAsia" w:cs="宋体"/>
                <w:bCs/>
                <w:color w:val="000000"/>
                <w:sz w:val="24"/>
                <w:szCs w:val="24"/>
              </w:rPr>
              <w:t xml:space="preserve"> 2、存在上下游关系的参与集中的经营者，在上下游市场所占的市场份额均小于25%。</w:t>
            </w:r>
          </w:p>
        </w:tc>
      </w:tr>
      <w:tr w14:paraId="569E1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40" w:type="dxa"/>
            <w:vMerge w:val="continue"/>
            <w:shd w:val="clear" w:color="auto" w:fill="auto"/>
            <w:vAlign w:val="center"/>
          </w:tcPr>
          <w:p w14:paraId="6E2B4500">
            <w:pPr>
              <w:pStyle w:val="3"/>
              <w:adjustRightInd w:val="0"/>
              <w:snapToGrid w:val="0"/>
              <w:spacing w:after="0"/>
              <w:jc w:val="center"/>
              <w:rPr>
                <w:rFonts w:cs="宋体"/>
                <w:bCs/>
                <w:color w:val="000000"/>
                <w:sz w:val="24"/>
                <w:szCs w:val="24"/>
              </w:rPr>
            </w:pPr>
          </w:p>
        </w:tc>
        <w:tc>
          <w:tcPr>
            <w:tcW w:w="7700" w:type="dxa"/>
            <w:gridSpan w:val="2"/>
            <w:vAlign w:val="center"/>
          </w:tcPr>
          <w:p w14:paraId="09FA021A">
            <w:pPr>
              <w:pStyle w:val="3"/>
              <w:adjustRightInd w:val="0"/>
              <w:snapToGrid w:val="0"/>
              <w:spacing w:after="0"/>
              <w:rPr>
                <w:rFonts w:cs="宋体"/>
                <w:bCs/>
                <w:color w:val="000000"/>
                <w:sz w:val="24"/>
                <w:szCs w:val="24"/>
              </w:rPr>
            </w:pPr>
            <w:r>
              <w:rPr>
                <w:rFonts w:hint="eastAsia" w:cs="宋体"/>
                <w:bCs/>
                <w:color w:val="000000"/>
                <w:sz w:val="24"/>
                <w:szCs w:val="24"/>
              </w:rPr>
              <w:sym w:font="Wingdings" w:char="00A8"/>
            </w:r>
            <w:r>
              <w:rPr>
                <w:rFonts w:hint="eastAsia" w:cs="宋体"/>
                <w:bCs/>
                <w:color w:val="000000"/>
                <w:sz w:val="24"/>
                <w:szCs w:val="24"/>
              </w:rPr>
              <w:t xml:space="preserve"> 3、不在同一相关市场、也不存在上下游关系的参与集中的经营者，在与交易有关的每个市场所占的份额均小于25%。</w:t>
            </w:r>
          </w:p>
        </w:tc>
      </w:tr>
      <w:tr w14:paraId="1DFDF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940" w:type="dxa"/>
            <w:vMerge w:val="continue"/>
            <w:shd w:val="clear" w:color="auto" w:fill="auto"/>
            <w:vAlign w:val="center"/>
          </w:tcPr>
          <w:p w14:paraId="6DF38966">
            <w:pPr>
              <w:pStyle w:val="3"/>
              <w:adjustRightInd w:val="0"/>
              <w:snapToGrid w:val="0"/>
              <w:spacing w:after="0"/>
              <w:jc w:val="center"/>
              <w:rPr>
                <w:rFonts w:cs="宋体"/>
                <w:bCs/>
                <w:color w:val="000000"/>
                <w:sz w:val="24"/>
                <w:szCs w:val="24"/>
              </w:rPr>
            </w:pPr>
          </w:p>
        </w:tc>
        <w:tc>
          <w:tcPr>
            <w:tcW w:w="7700" w:type="dxa"/>
            <w:gridSpan w:val="2"/>
            <w:vAlign w:val="center"/>
          </w:tcPr>
          <w:p w14:paraId="56E31B22">
            <w:pPr>
              <w:pStyle w:val="3"/>
              <w:adjustRightInd w:val="0"/>
              <w:snapToGrid w:val="0"/>
              <w:spacing w:after="0"/>
              <w:rPr>
                <w:rFonts w:cs="宋体"/>
                <w:bCs/>
                <w:color w:val="000000"/>
                <w:sz w:val="24"/>
                <w:szCs w:val="24"/>
              </w:rPr>
            </w:pPr>
            <w:r>
              <w:rPr>
                <w:rFonts w:hint="eastAsia" w:cs="宋体"/>
                <w:bCs/>
                <w:color w:val="000000"/>
                <w:sz w:val="24"/>
                <w:szCs w:val="24"/>
              </w:rPr>
              <w:sym w:font="Wingdings" w:char="00A8"/>
            </w:r>
            <w:r>
              <w:rPr>
                <w:rFonts w:hint="eastAsia" w:cs="宋体"/>
                <w:bCs/>
                <w:color w:val="000000"/>
                <w:sz w:val="24"/>
                <w:szCs w:val="24"/>
              </w:rPr>
              <w:t xml:space="preserve"> 4、参与集中的经营者在中国境外设立合营企业，合营企业不在中国境内从事经济活动。</w:t>
            </w:r>
          </w:p>
        </w:tc>
      </w:tr>
      <w:tr w14:paraId="10F6A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940" w:type="dxa"/>
            <w:vMerge w:val="continue"/>
            <w:shd w:val="clear" w:color="auto" w:fill="auto"/>
            <w:vAlign w:val="center"/>
          </w:tcPr>
          <w:p w14:paraId="605CCAF9">
            <w:pPr>
              <w:pStyle w:val="3"/>
              <w:adjustRightInd w:val="0"/>
              <w:snapToGrid w:val="0"/>
              <w:spacing w:after="0"/>
              <w:jc w:val="center"/>
              <w:rPr>
                <w:rFonts w:cs="宋体"/>
                <w:bCs/>
                <w:color w:val="000000"/>
                <w:sz w:val="24"/>
                <w:szCs w:val="24"/>
              </w:rPr>
            </w:pPr>
          </w:p>
        </w:tc>
        <w:tc>
          <w:tcPr>
            <w:tcW w:w="7700" w:type="dxa"/>
            <w:gridSpan w:val="2"/>
            <w:vAlign w:val="center"/>
          </w:tcPr>
          <w:p w14:paraId="0782B528">
            <w:pPr>
              <w:pStyle w:val="3"/>
              <w:adjustRightInd w:val="0"/>
              <w:snapToGrid w:val="0"/>
              <w:spacing w:after="0"/>
              <w:rPr>
                <w:rFonts w:cs="宋体"/>
                <w:bCs/>
                <w:color w:val="000000"/>
                <w:sz w:val="24"/>
                <w:szCs w:val="24"/>
              </w:rPr>
            </w:pPr>
            <w:r>
              <w:rPr>
                <w:rFonts w:hint="eastAsia" w:cs="宋体"/>
                <w:bCs/>
                <w:color w:val="000000"/>
                <w:sz w:val="24"/>
                <w:szCs w:val="24"/>
              </w:rPr>
              <w:sym w:font="Wingdings" w:char="00A8"/>
            </w:r>
            <w:r>
              <w:rPr>
                <w:rFonts w:hint="eastAsia" w:cs="宋体"/>
                <w:bCs/>
                <w:color w:val="000000"/>
                <w:sz w:val="24"/>
                <w:szCs w:val="24"/>
              </w:rPr>
              <w:t xml:space="preserve"> 5、参与集中的经营者收购境外企业股权或资产的，该境外企业不在中国境内从事经济活动。</w:t>
            </w:r>
          </w:p>
        </w:tc>
      </w:tr>
      <w:tr w14:paraId="35DF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40" w:type="dxa"/>
            <w:vMerge w:val="continue"/>
            <w:shd w:val="clear" w:color="auto" w:fill="auto"/>
            <w:vAlign w:val="center"/>
          </w:tcPr>
          <w:p w14:paraId="5077F910">
            <w:pPr>
              <w:pStyle w:val="3"/>
              <w:adjustRightInd w:val="0"/>
              <w:snapToGrid w:val="0"/>
              <w:spacing w:after="0"/>
              <w:jc w:val="center"/>
              <w:rPr>
                <w:rFonts w:cs="宋体"/>
                <w:bCs/>
                <w:color w:val="000000"/>
                <w:sz w:val="24"/>
                <w:szCs w:val="24"/>
              </w:rPr>
            </w:pPr>
          </w:p>
        </w:tc>
        <w:tc>
          <w:tcPr>
            <w:tcW w:w="7700" w:type="dxa"/>
            <w:gridSpan w:val="2"/>
            <w:vAlign w:val="center"/>
          </w:tcPr>
          <w:p w14:paraId="7A1B8729">
            <w:pPr>
              <w:pStyle w:val="3"/>
              <w:adjustRightInd w:val="0"/>
              <w:snapToGrid w:val="0"/>
              <w:spacing w:after="0"/>
              <w:rPr>
                <w:rFonts w:cs="宋体"/>
                <w:bCs/>
                <w:color w:val="000000"/>
                <w:sz w:val="24"/>
                <w:szCs w:val="24"/>
              </w:rPr>
            </w:pPr>
            <w:r>
              <w:rPr>
                <w:rFonts w:hint="eastAsia" w:cs="宋体"/>
                <w:bCs/>
                <w:color w:val="000000"/>
                <w:sz w:val="24"/>
                <w:szCs w:val="24"/>
              </w:rPr>
              <w:sym w:font="Wingdings" w:char="00A8"/>
            </w:r>
            <w:r>
              <w:rPr>
                <w:rFonts w:hint="eastAsia" w:cs="宋体"/>
                <w:bCs/>
                <w:color w:val="000000"/>
                <w:sz w:val="24"/>
                <w:szCs w:val="24"/>
              </w:rPr>
              <w:t xml:space="preserve"> 6、由两个以上的经营者共同控制的合营企业，通过集中被其中一个或一个以上经营者控制。</w:t>
            </w:r>
          </w:p>
        </w:tc>
      </w:tr>
      <w:tr w14:paraId="5D250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940" w:type="dxa"/>
            <w:shd w:val="clear" w:color="auto" w:fill="auto"/>
            <w:vAlign w:val="center"/>
          </w:tcPr>
          <w:p w14:paraId="6A2EEAEE">
            <w:pPr>
              <w:pStyle w:val="3"/>
              <w:adjustRightInd w:val="0"/>
              <w:snapToGrid w:val="0"/>
              <w:spacing w:after="0"/>
              <w:jc w:val="center"/>
              <w:rPr>
                <w:rFonts w:cs="宋体"/>
                <w:bCs/>
                <w:color w:val="000000"/>
                <w:sz w:val="24"/>
                <w:szCs w:val="24"/>
              </w:rPr>
            </w:pPr>
            <w:r>
              <w:rPr>
                <w:rFonts w:hint="eastAsia" w:cs="宋体"/>
                <w:bCs/>
                <w:color w:val="000000"/>
                <w:sz w:val="24"/>
                <w:szCs w:val="24"/>
              </w:rPr>
              <w:t>备注</w:t>
            </w:r>
          </w:p>
        </w:tc>
        <w:tc>
          <w:tcPr>
            <w:tcW w:w="7700" w:type="dxa"/>
            <w:gridSpan w:val="2"/>
            <w:vAlign w:val="center"/>
          </w:tcPr>
          <w:p w14:paraId="360FBD6A">
            <w:pPr>
              <w:pStyle w:val="3"/>
              <w:adjustRightInd w:val="0"/>
              <w:snapToGrid w:val="0"/>
              <w:spacing w:after="0"/>
              <w:rPr>
                <w:rFonts w:cs="宋体"/>
                <w:b/>
                <w:color w:val="000000"/>
                <w:sz w:val="24"/>
                <w:szCs w:val="24"/>
              </w:rPr>
            </w:pPr>
            <w:r>
              <w:rPr>
                <w:rFonts w:hint="eastAsia" w:cs="宋体"/>
                <w:b/>
                <w:color w:val="000000"/>
                <w:sz w:val="24"/>
                <w:szCs w:val="24"/>
              </w:rPr>
              <w:t>纵向关联：</w:t>
            </w:r>
          </w:p>
          <w:p w14:paraId="59A7ED77">
            <w:pPr>
              <w:pStyle w:val="3"/>
              <w:adjustRightInd w:val="0"/>
              <w:snapToGrid w:val="0"/>
              <w:spacing w:after="0"/>
              <w:rPr>
                <w:rFonts w:cs="宋体"/>
                <w:bCs/>
                <w:color w:val="000000"/>
                <w:sz w:val="24"/>
                <w:szCs w:val="24"/>
                <w:lang w:val="en-US" w:eastAsia="zh-CN"/>
              </w:rPr>
            </w:pPr>
            <w:r>
              <w:rPr>
                <w:rFonts w:hint="eastAsia" w:cs="宋体"/>
                <w:bCs/>
                <w:color w:val="000000"/>
                <w:sz w:val="24"/>
                <w:szCs w:val="24"/>
                <w:lang w:val="en-US" w:eastAsia="zh-CN"/>
              </w:rPr>
              <w:t>上游：</w:t>
            </w:r>
          </w:p>
          <w:p w14:paraId="71BC3143">
            <w:pPr>
              <w:pStyle w:val="3"/>
              <w:numPr>
                <w:ilvl w:val="0"/>
                <w:numId w:val="1"/>
              </w:numPr>
              <w:adjustRightInd w:val="0"/>
              <w:snapToGrid w:val="0"/>
              <w:spacing w:after="0"/>
              <w:ind w:left="360" w:leftChars="0" w:hanging="360" w:firstLineChars="0"/>
              <w:rPr>
                <w:rFonts w:cs="宋体"/>
                <w:bCs/>
                <w:color w:val="000000"/>
                <w:sz w:val="24"/>
                <w:szCs w:val="24"/>
                <w:lang w:val="en-US" w:eastAsia="zh-CN"/>
              </w:rPr>
            </w:pPr>
            <w:r>
              <w:rPr>
                <w:rFonts w:hint="eastAsia" w:cs="宋体"/>
                <w:bCs/>
                <w:color w:val="000000"/>
                <w:sz w:val="24"/>
                <w:szCs w:val="24"/>
                <w:lang w:val="en-US" w:eastAsia="zh-CN"/>
              </w:rPr>
              <w:t>2023年中国境内车用液晶显示面板市场</w:t>
            </w:r>
          </w:p>
          <w:p w14:paraId="509AA8B1">
            <w:pPr>
              <w:pStyle w:val="3"/>
              <w:adjustRightInd w:val="0"/>
              <w:snapToGrid w:val="0"/>
              <w:spacing w:after="0"/>
              <w:ind w:left="360"/>
              <w:rPr>
                <w:rFonts w:hint="default" w:cs="宋体"/>
                <w:bCs/>
                <w:color w:val="000000"/>
                <w:sz w:val="24"/>
                <w:szCs w:val="24"/>
                <w:lang w:val="en-US" w:eastAsia="zh-CN"/>
              </w:rPr>
            </w:pPr>
            <w:r>
              <w:rPr>
                <w:rFonts w:hint="eastAsia"/>
                <w:sz w:val="24"/>
                <w:szCs w:val="24"/>
                <w:lang w:eastAsia="zh-CN"/>
              </w:rPr>
              <w:t>TCL实业</w:t>
            </w:r>
            <w:r>
              <w:rPr>
                <w:rFonts w:hint="eastAsia" w:cs="宋体"/>
                <w:bCs/>
                <w:color w:val="000000"/>
                <w:sz w:val="24"/>
                <w:szCs w:val="24"/>
                <w:lang w:val="en-US" w:eastAsia="zh-CN"/>
              </w:rPr>
              <w:t>：0-5%，合营企业（预估）：0-5%，双方合计：0-5%</w:t>
            </w:r>
          </w:p>
          <w:p w14:paraId="06D26D15">
            <w:pPr>
              <w:pStyle w:val="3"/>
              <w:numPr>
                <w:ilvl w:val="0"/>
                <w:numId w:val="1"/>
              </w:numPr>
              <w:adjustRightInd w:val="0"/>
              <w:snapToGrid w:val="0"/>
              <w:spacing w:after="0"/>
              <w:ind w:left="425" w:leftChars="0" w:hanging="425" w:firstLineChars="0"/>
              <w:rPr>
                <w:rFonts w:cs="宋体"/>
                <w:bCs/>
                <w:color w:val="000000"/>
                <w:sz w:val="24"/>
                <w:szCs w:val="24"/>
                <w:lang w:val="en-US" w:eastAsia="zh-CN"/>
              </w:rPr>
            </w:pPr>
            <w:r>
              <w:rPr>
                <w:rFonts w:hint="eastAsia" w:cs="宋体"/>
                <w:bCs/>
                <w:color w:val="000000"/>
                <w:sz w:val="24"/>
                <w:szCs w:val="24"/>
                <w:lang w:val="en-US" w:eastAsia="zh-CN"/>
              </w:rPr>
              <w:t>2023年中国境内智能座舱系统市场</w:t>
            </w:r>
          </w:p>
          <w:p w14:paraId="26284CBF">
            <w:pPr>
              <w:pStyle w:val="3"/>
              <w:adjustRightInd w:val="0"/>
              <w:snapToGrid w:val="0"/>
              <w:spacing w:after="0"/>
              <w:ind w:left="360"/>
              <w:rPr>
                <w:rFonts w:cs="宋体"/>
                <w:bCs/>
                <w:color w:val="000000"/>
                <w:sz w:val="24"/>
                <w:szCs w:val="24"/>
                <w:lang w:val="en-US" w:eastAsia="zh-CN"/>
              </w:rPr>
            </w:pPr>
            <w:r>
              <w:rPr>
                <w:rFonts w:hint="eastAsia"/>
                <w:sz w:val="24"/>
                <w:szCs w:val="24"/>
                <w:lang w:eastAsia="zh-CN"/>
              </w:rPr>
              <w:t>TCL实业</w:t>
            </w:r>
            <w:r>
              <w:rPr>
                <w:rFonts w:hint="eastAsia" w:cs="宋体"/>
                <w:bCs/>
                <w:color w:val="000000"/>
                <w:sz w:val="24"/>
                <w:szCs w:val="24"/>
                <w:lang w:val="en-US" w:eastAsia="zh-CN"/>
              </w:rPr>
              <w:t>：0-5%，合营企业（预估）：0-5%，双方合计：0-5%</w:t>
            </w:r>
          </w:p>
          <w:p w14:paraId="794CAE4C">
            <w:pPr>
              <w:pStyle w:val="3"/>
              <w:numPr>
                <w:ilvl w:val="0"/>
                <w:numId w:val="1"/>
              </w:numPr>
              <w:adjustRightInd w:val="0"/>
              <w:snapToGrid w:val="0"/>
              <w:spacing w:after="0"/>
              <w:ind w:left="425" w:leftChars="0" w:hanging="425" w:firstLineChars="0"/>
              <w:rPr>
                <w:rFonts w:cs="宋体"/>
                <w:bCs/>
                <w:color w:val="000000"/>
                <w:sz w:val="24"/>
                <w:szCs w:val="24"/>
                <w:lang w:val="en-US" w:eastAsia="zh-CN"/>
              </w:rPr>
            </w:pPr>
            <w:r>
              <w:rPr>
                <w:rFonts w:hint="eastAsia" w:cs="宋体"/>
                <w:bCs/>
                <w:color w:val="000000"/>
                <w:sz w:val="24"/>
                <w:szCs w:val="24"/>
                <w:lang w:val="en-US" w:eastAsia="zh-CN"/>
              </w:rPr>
              <w:t>2023年中国境内智能驾驶电子产品市场</w:t>
            </w:r>
          </w:p>
          <w:p w14:paraId="40F3E9DC">
            <w:pPr>
              <w:pStyle w:val="3"/>
              <w:adjustRightInd w:val="0"/>
              <w:snapToGrid w:val="0"/>
              <w:spacing w:after="0"/>
              <w:ind w:left="360"/>
              <w:rPr>
                <w:rFonts w:cs="宋体"/>
                <w:bCs/>
                <w:color w:val="000000"/>
                <w:sz w:val="24"/>
                <w:szCs w:val="24"/>
                <w:lang w:val="en-US" w:eastAsia="zh-CN"/>
              </w:rPr>
            </w:pPr>
            <w:r>
              <w:rPr>
                <w:rFonts w:hint="eastAsia"/>
                <w:sz w:val="24"/>
                <w:szCs w:val="24"/>
                <w:lang w:eastAsia="zh-CN"/>
              </w:rPr>
              <w:t>TCL实业</w:t>
            </w:r>
            <w:r>
              <w:rPr>
                <w:rFonts w:hint="eastAsia" w:cs="宋体"/>
                <w:bCs/>
                <w:color w:val="000000"/>
                <w:sz w:val="24"/>
                <w:szCs w:val="24"/>
                <w:lang w:val="en-US" w:eastAsia="zh-CN"/>
              </w:rPr>
              <w:t>：0-5%，合营企业（预估）：0-5%，双方合计：0-5%</w:t>
            </w:r>
          </w:p>
          <w:p w14:paraId="64FBBA2A">
            <w:pPr>
              <w:pStyle w:val="3"/>
              <w:adjustRightInd w:val="0"/>
              <w:snapToGrid w:val="0"/>
              <w:spacing w:after="0"/>
              <w:rPr>
                <w:rFonts w:cs="宋体"/>
                <w:bCs/>
                <w:color w:val="000000"/>
                <w:sz w:val="24"/>
                <w:szCs w:val="24"/>
                <w:lang w:val="en-US" w:eastAsia="zh-CN"/>
              </w:rPr>
            </w:pPr>
            <w:r>
              <w:rPr>
                <w:rFonts w:hint="eastAsia" w:cs="宋体"/>
                <w:bCs/>
                <w:color w:val="000000"/>
                <w:sz w:val="24"/>
                <w:szCs w:val="24"/>
                <w:lang w:val="en-US" w:eastAsia="zh-CN"/>
              </w:rPr>
              <w:t>下游：</w:t>
            </w:r>
          </w:p>
          <w:p w14:paraId="46B148B7">
            <w:pPr>
              <w:pStyle w:val="3"/>
              <w:numPr>
                <w:ilvl w:val="0"/>
                <w:numId w:val="2"/>
              </w:numPr>
              <w:adjustRightInd w:val="0"/>
              <w:snapToGrid w:val="0"/>
              <w:spacing w:after="0"/>
              <w:ind w:left="360" w:leftChars="0" w:hanging="360" w:firstLineChars="0"/>
              <w:rPr>
                <w:rFonts w:cs="宋体"/>
                <w:bCs/>
                <w:color w:val="000000"/>
                <w:sz w:val="24"/>
                <w:szCs w:val="24"/>
                <w:lang w:val="en-US" w:eastAsia="zh-CN"/>
              </w:rPr>
            </w:pPr>
            <w:r>
              <w:rPr>
                <w:rFonts w:hint="eastAsia" w:cs="宋体"/>
                <w:bCs/>
                <w:color w:val="000000"/>
                <w:sz w:val="24"/>
                <w:szCs w:val="24"/>
                <w:lang w:val="en-US" w:eastAsia="zh-CN"/>
              </w:rPr>
              <w:t>2023年中国境内新能源轻型货车市场</w:t>
            </w:r>
          </w:p>
          <w:p w14:paraId="425CAA3A">
            <w:pPr>
              <w:pStyle w:val="3"/>
              <w:adjustRightInd w:val="0"/>
              <w:snapToGrid w:val="0"/>
              <w:spacing w:after="0"/>
              <w:ind w:left="360"/>
              <w:rPr>
                <w:rFonts w:cs="宋体"/>
                <w:bCs/>
                <w:color w:val="000000"/>
                <w:sz w:val="24"/>
                <w:szCs w:val="24"/>
                <w:lang w:val="en-US" w:eastAsia="zh-CN"/>
              </w:rPr>
            </w:pPr>
            <w:r>
              <w:rPr>
                <w:rFonts w:hint="eastAsia" w:cs="宋体"/>
                <w:bCs/>
                <w:color w:val="000000"/>
                <w:sz w:val="24"/>
                <w:szCs w:val="24"/>
                <w:lang w:val="en-US" w:eastAsia="zh-CN"/>
              </w:rPr>
              <w:t>华晨中国：0-5%</w:t>
            </w:r>
          </w:p>
          <w:p w14:paraId="244FBA8E">
            <w:pPr>
              <w:pStyle w:val="3"/>
              <w:numPr>
                <w:ilvl w:val="0"/>
                <w:numId w:val="2"/>
              </w:numPr>
              <w:adjustRightInd w:val="0"/>
              <w:snapToGrid w:val="0"/>
              <w:spacing w:after="0"/>
              <w:ind w:left="425" w:leftChars="0" w:hanging="425" w:firstLineChars="0"/>
              <w:rPr>
                <w:rFonts w:cs="宋体"/>
                <w:bCs/>
                <w:color w:val="000000"/>
                <w:sz w:val="24"/>
                <w:szCs w:val="24"/>
                <w:lang w:val="en-US" w:eastAsia="zh-CN"/>
              </w:rPr>
            </w:pPr>
            <w:r>
              <w:rPr>
                <w:rFonts w:hint="eastAsia" w:cs="宋体"/>
                <w:bCs/>
                <w:color w:val="000000"/>
                <w:sz w:val="24"/>
                <w:szCs w:val="24"/>
                <w:lang w:val="en-US" w:eastAsia="zh-CN"/>
              </w:rPr>
              <w:t>2023年中国境内传统能源轻型货车市场</w:t>
            </w:r>
          </w:p>
          <w:p w14:paraId="51444647">
            <w:pPr>
              <w:pStyle w:val="3"/>
              <w:adjustRightInd w:val="0"/>
              <w:snapToGrid w:val="0"/>
              <w:spacing w:after="0"/>
              <w:ind w:left="360"/>
              <w:rPr>
                <w:rFonts w:cs="宋体"/>
                <w:bCs/>
                <w:color w:val="000000"/>
                <w:sz w:val="24"/>
                <w:szCs w:val="24"/>
                <w:lang w:val="en-US" w:eastAsia="zh-CN"/>
              </w:rPr>
            </w:pPr>
            <w:r>
              <w:rPr>
                <w:rFonts w:hint="eastAsia" w:cs="宋体"/>
                <w:bCs/>
                <w:color w:val="000000"/>
                <w:sz w:val="24"/>
                <w:szCs w:val="24"/>
                <w:lang w:val="en-US" w:eastAsia="zh-CN"/>
              </w:rPr>
              <w:t>华晨中国：0-5%</w:t>
            </w:r>
          </w:p>
          <w:p w14:paraId="5C896DC9">
            <w:pPr>
              <w:pStyle w:val="3"/>
              <w:numPr>
                <w:ilvl w:val="0"/>
                <w:numId w:val="2"/>
              </w:numPr>
              <w:adjustRightInd w:val="0"/>
              <w:snapToGrid w:val="0"/>
              <w:spacing w:after="0"/>
              <w:ind w:left="425" w:leftChars="0" w:hanging="425" w:firstLineChars="0"/>
              <w:rPr>
                <w:rFonts w:cs="宋体"/>
                <w:bCs/>
                <w:color w:val="000000"/>
                <w:sz w:val="24"/>
                <w:szCs w:val="24"/>
                <w:lang w:val="en-US" w:eastAsia="zh-CN"/>
              </w:rPr>
            </w:pPr>
            <w:r>
              <w:rPr>
                <w:rFonts w:hint="eastAsia" w:cs="宋体"/>
                <w:bCs/>
                <w:color w:val="000000"/>
                <w:sz w:val="24"/>
                <w:szCs w:val="24"/>
                <w:lang w:val="en-US" w:eastAsia="zh-CN"/>
              </w:rPr>
              <w:t>2023年中国境内传统能源轻型客车市场</w:t>
            </w:r>
          </w:p>
          <w:p w14:paraId="10C12ACF">
            <w:pPr>
              <w:pStyle w:val="3"/>
              <w:adjustRightInd w:val="0"/>
              <w:snapToGrid w:val="0"/>
              <w:spacing w:after="0"/>
              <w:ind w:left="360"/>
              <w:rPr>
                <w:rFonts w:cs="宋体"/>
                <w:bCs/>
                <w:color w:val="000000"/>
                <w:sz w:val="24"/>
                <w:szCs w:val="24"/>
              </w:rPr>
            </w:pPr>
            <w:r>
              <w:rPr>
                <w:rFonts w:hint="eastAsia" w:cs="宋体"/>
                <w:bCs/>
                <w:color w:val="000000"/>
                <w:sz w:val="24"/>
                <w:szCs w:val="24"/>
                <w:lang w:val="en-US" w:eastAsia="zh-CN"/>
              </w:rPr>
              <w:t>华晨中国：0-5%</w:t>
            </w:r>
          </w:p>
        </w:tc>
      </w:tr>
    </w:tbl>
    <w:p w14:paraId="7BCE95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7747E6"/>
    <w:multiLevelType w:val="singleLevel"/>
    <w:tmpl w:val="BE7747E6"/>
    <w:lvl w:ilvl="0" w:tentative="0">
      <w:start w:val="1"/>
      <w:numFmt w:val="decimal"/>
      <w:lvlText w:val="%1."/>
      <w:lvlJc w:val="left"/>
      <w:pPr>
        <w:ind w:left="425" w:hanging="425"/>
      </w:pPr>
      <w:rPr>
        <w:rFonts w:hint="default"/>
      </w:rPr>
    </w:lvl>
  </w:abstractNum>
  <w:abstractNum w:abstractNumId="1">
    <w:nsid w:val="0BBB94E0"/>
    <w:multiLevelType w:val="singleLevel"/>
    <w:tmpl w:val="0BBB94E0"/>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E85819"/>
    <w:rsid w:val="46E666DE"/>
    <w:rsid w:val="650C7AFB"/>
    <w:rsid w:val="78E85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style>
  <w:style w:type="paragraph" w:styleId="3">
    <w:name w:val="Body Text"/>
    <w:basedOn w:val="1"/>
    <w:next w:val="4"/>
    <w:unhideWhenUsed/>
    <w:qFormat/>
    <w:uiPriority w:val="99"/>
    <w:pPr>
      <w:spacing w:after="120"/>
    </w:pPr>
  </w:style>
  <w:style w:type="paragraph" w:styleId="4">
    <w:name w:val="Body Text First Indent"/>
    <w:basedOn w:val="3"/>
    <w:qFormat/>
    <w:uiPriority w:val="0"/>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2025-02-24T03:13:00Z</dcterms:created>
  <dc:creator>胡翌婧</dc:creator>
  <cp:lastModifiedBy>胡翌婧</cp:lastModifiedBy>
  <dcterms:modified xsi:type="dcterms:W3CDTF">2025-02-24T03:16:11Z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30AF75FCCE244EACBAB391B88C43940B_11</vt:lpwstr>
  </property>
  <property fmtid="{D5CDD505-2E9C-101B-9397-08002B2CF9AE}" pid="4" name="KSOTemplateDocerSaveRecord">
    <vt:lpwstr>eyJoZGlkIjoiODNjM2VkZWUwYjdkZDYzZGY2NmZiZGNiZGIyMjFjYWIiLCJ1c2VySWQiOiIyNDQ2MzYxMzgifQ==</vt:lpwstr>
  </property>
</Properties>
</file>